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394"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02" w:lineRule="exact"/>
        <w:rPr>
          <w:sz w:val="24"/>
          <w:szCs w:val="24"/>
          <w:color w:val="auto"/>
        </w:rPr>
      </w:pPr>
    </w:p>
    <w:p>
      <w:pPr>
        <w:ind w:left="460" w:right="60" w:hanging="434"/>
        <w:spacing w:after="0" w:line="238"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 (d) OF THE SECURITIES EXCHANGE ACT OF 1934</w:t>
      </w:r>
    </w:p>
    <w:p>
      <w:pPr>
        <w:spacing w:after="0" w:line="3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001-12822</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BEAZER HOMES USA,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0"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127" w:lineRule="exact"/>
        <w:rPr>
          <w:sz w:val="24"/>
          <w:szCs w:val="24"/>
          <w:color w:val="auto"/>
        </w:rPr>
      </w:pPr>
    </w:p>
    <w:tbl>
      <w:tblPr>
        <w:tblLayout w:type="fixed"/>
        <w:tblInd w:w="1380" w:type="dxa"/>
        <w:tblCellMar>
          <w:top w:w="0" w:type="dxa"/>
          <w:left w:w="0" w:type="dxa"/>
          <w:bottom w:w="0" w:type="dxa"/>
          <w:right w:w="0" w:type="dxa"/>
        </w:tblCellMar>
      </w:tblPr>
      <w:tr>
        <w:trPr>
          <w:trHeight w:val="227"/>
        </w:trPr>
        <w:tc>
          <w:tcPr>
            <w:tcW w:w="462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58-2086934</w:t>
            </w:r>
          </w:p>
        </w:tc>
        <w:tc>
          <w:tcPr>
            <w:tcW w:w="0" w:type="dxa"/>
            <w:vAlign w:val="bottom"/>
          </w:tcPr>
          <w:p>
            <w:pPr>
              <w:spacing w:after="0"/>
              <w:rPr>
                <w:sz w:val="1"/>
                <w:szCs w:val="1"/>
                <w:color w:val="auto"/>
              </w:rPr>
            </w:pPr>
          </w:p>
        </w:tc>
      </w:tr>
      <w:tr>
        <w:trPr>
          <w:trHeight w:val="148"/>
        </w:trPr>
        <w:tc>
          <w:tcPr>
            <w:tcW w:w="4620" w:type="dxa"/>
            <w:vAlign w:val="bottom"/>
          </w:tcPr>
          <w:p>
            <w:pPr>
              <w:jc w:val="center"/>
              <w:ind w:right="18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80" w:type="dxa"/>
            <w:vAlign w:val="bottom"/>
          </w:tcPr>
          <w:p>
            <w:pPr>
              <w:jc w:val="center"/>
              <w:ind w:left="18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62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80" w:type="dxa"/>
            <w:vAlign w:val="bottom"/>
          </w:tcPr>
          <w:p>
            <w:pPr>
              <w:jc w:val="center"/>
              <w:ind w:left="188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07"/>
        </w:trPr>
        <w:tc>
          <w:tcPr>
            <w:tcW w:w="462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9"/>
              </w:rPr>
              <w:t>2002 Summit Blvd NE, 15th Floor,</w:t>
            </w:r>
          </w:p>
        </w:tc>
        <w:tc>
          <w:tcPr>
            <w:tcW w:w="308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30319</w:t>
            </w:r>
          </w:p>
        </w:tc>
        <w:tc>
          <w:tcPr>
            <w:tcW w:w="0" w:type="dxa"/>
            <w:vAlign w:val="bottom"/>
          </w:tcPr>
          <w:p>
            <w:pPr>
              <w:spacing w:after="0"/>
              <w:rPr>
                <w:sz w:val="1"/>
                <w:szCs w:val="1"/>
                <w:color w:val="auto"/>
              </w:rPr>
            </w:pPr>
          </w:p>
        </w:tc>
      </w:tr>
      <w:tr>
        <w:trPr>
          <w:trHeight w:val="232"/>
        </w:trPr>
        <w:tc>
          <w:tcPr>
            <w:tcW w:w="462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rPr>
              <w:t>Atlanta, Georgia</w:t>
            </w:r>
          </w:p>
        </w:tc>
        <w:tc>
          <w:tcPr>
            <w:tcW w:w="3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62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80" w:type="dxa"/>
            <w:vAlign w:val="bottom"/>
          </w:tcPr>
          <w:p>
            <w:pPr>
              <w:jc w:val="center"/>
              <w:ind w:left="188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3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(770) 829-3700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28"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7960" w:type="dxa"/>
            <w:vAlign w:val="bottom"/>
            <w:gridSpan w:val="2"/>
          </w:tcPr>
          <w:p>
            <w:pPr>
              <w:jc w:val="center"/>
              <w:ind w:right="315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378"/>
        </w:trPr>
        <w:tc>
          <w:tcPr>
            <w:tcW w:w="32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76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0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2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7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BZH</w:t>
            </w:r>
          </w:p>
        </w:tc>
        <w:tc>
          <w:tcPr>
            <w:tcW w:w="42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30" w:lineRule="exact"/>
        <w:rPr>
          <w:sz w:val="24"/>
          <w:szCs w:val="24"/>
          <w:color w:val="auto"/>
        </w:rPr>
      </w:pPr>
    </w:p>
    <w:p>
      <w:pPr>
        <w:spacing w:after="0" w:line="207" w:lineRule="exact"/>
        <w:tabs>
          <w:tab w:leader="none" w:pos="6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130" w:lineRule="exact"/>
        <w:rPr>
          <w:sz w:val="24"/>
          <w:szCs w:val="24"/>
          <w:color w:val="auto"/>
        </w:rPr>
      </w:pPr>
    </w:p>
    <w:p>
      <w:pPr>
        <w:spacing w:after="0" w:line="207" w:lineRule="exact"/>
        <w:tabs>
          <w:tab w:leader="none" w:pos="6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w:t>
      </w:r>
    </w:p>
    <w:p>
      <w:pPr>
        <w:sectPr>
          <w:pgSz w:w="11900" w:h="16838" w:orient="portrait"/>
          <w:cols w:equalWidth="0" w:num="1">
            <w:col w:w="11240"/>
          </w:cols>
          <w:pgMar w:left="320" w:top="1037" w:right="339" w:bottom="79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8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 w:lineRule="exact"/>
        <w:rPr>
          <w:sz w:val="20"/>
          <w:szCs w:val="20"/>
          <w:color w:val="auto"/>
        </w:rPr>
      </w:pPr>
    </w:p>
    <w:p>
      <w:pPr>
        <w:ind w:left="20" w:right="50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8" w:lineRule="exact"/>
        <w:rPr>
          <w:sz w:val="20"/>
          <w:szCs w:val="20"/>
          <w:color w:val="auto"/>
        </w:rPr>
      </w:pPr>
    </w:p>
    <w:p>
      <w:pPr>
        <w:ind w:left="20" w:right="42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prepared or issued its audit report. </w:t>
      </w:r>
      <w:r>
        <w:rPr>
          <w:rFonts w:ascii="MS PGothic" w:cs="MS PGothic" w:eastAsia="MS PGothic" w:hAnsi="MS PGothic"/>
          <w:sz w:val="18"/>
          <w:szCs w:val="18"/>
          <w:color w:val="auto"/>
        </w:rPr>
        <w:t>☒</w:t>
      </w:r>
    </w:p>
    <w:p>
      <w:pPr>
        <w:spacing w:after="0" w:line="77" w:lineRule="exact"/>
        <w:rPr>
          <w:sz w:val="20"/>
          <w:szCs w:val="20"/>
          <w:color w:val="auto"/>
        </w:rPr>
      </w:pPr>
    </w:p>
    <w:p>
      <w:pPr>
        <w:ind w:left="20" w:right="560"/>
        <w:spacing w:after="0" w:line="21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36" w:lineRule="exact"/>
        <w:rPr>
          <w:sz w:val="20"/>
          <w:szCs w:val="20"/>
          <w:color w:val="auto"/>
        </w:rPr>
      </w:pPr>
    </w:p>
    <w:p>
      <w:pPr>
        <w:ind w:left="20" w:right="740"/>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49" w:lineRule="exact"/>
        <w:rPr>
          <w:sz w:val="20"/>
          <w:szCs w:val="20"/>
          <w:color w:val="auto"/>
        </w:rPr>
      </w:pPr>
    </w:p>
    <w:p>
      <w:pPr>
        <w:ind w:left="20"/>
        <w:spacing w:after="0" w:line="207" w:lineRule="exact"/>
        <w:tabs>
          <w:tab w:leader="none" w:pos="82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as of March 31, 2025, based on the closing sale price per share as reported by the New York Stock Exchange on such date, was $574,670,720.</w:t>
      </w:r>
    </w:p>
    <w:p>
      <w:pPr>
        <w:spacing w:after="0" w:line="86"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4600" w:type="dxa"/>
            <w:vAlign w:val="bottom"/>
          </w:tcPr>
          <w:p>
            <w:pPr>
              <w:spacing w:after="0"/>
              <w:rPr>
                <w:sz w:val="13"/>
                <w:szCs w:val="13"/>
                <w:color w:val="auto"/>
              </w:rPr>
            </w:pPr>
          </w:p>
        </w:tc>
        <w:tc>
          <w:tcPr>
            <w:tcW w:w="2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Outstanding at </w:t>
            </w:r>
            <w:r>
              <w:rPr>
                <w:rFonts w:ascii="Times New Roman" w:cs="Times New Roman" w:eastAsia="Times New Roman" w:hAnsi="Times New Roman"/>
                <w:sz w:val="14"/>
                <w:szCs w:val="14"/>
                <w:b w:val="1"/>
                <w:bCs w:val="1"/>
                <w:color w:val="auto"/>
                <w:highlight w:val="white"/>
              </w:rPr>
              <w:t>November 10, 2025</w:t>
            </w:r>
          </w:p>
        </w:tc>
      </w:tr>
      <w:tr>
        <w:trPr>
          <w:trHeight w:val="20"/>
        </w:trPr>
        <w:tc>
          <w:tcPr>
            <w:tcW w:w="1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264"/>
        </w:trPr>
        <w:tc>
          <w:tcPr>
            <w:tcW w:w="598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1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29,759,950</w:t>
            </w:r>
          </w:p>
        </w:tc>
      </w:tr>
    </w:tbl>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Portions of the registrant’s Proxy Statement for the registrant’s 2025 Annual Meeting of Stockholders are incorporated by reference into Part III of this Form 10-K to the extent stated herein. The Proxy Statement will be filed within 120 days of the registrant’s fiscal year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829945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0" w:type="dxa"/>
            <w:vAlign w:val="bottom"/>
            <w:gridSpan w:val="9"/>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BEAZER HOMES USA, INC.</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gridSpan w:val="7"/>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2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w w:val="99"/>
              </w:rPr>
              <w:t>Forward-Looking Statements</w:t>
            </w:r>
          </w:p>
        </w:tc>
        <w:tc>
          <w:tcPr>
            <w:tcW w:w="7680" w:type="dxa"/>
            <w:vAlign w:val="bottom"/>
            <w:gridSpan w:val="15"/>
          </w:tcPr>
          <w:p>
            <w:pPr>
              <w:spacing w:after="0"/>
              <w:rPr>
                <w:sz w:val="24"/>
                <w:szCs w:val="24"/>
                <w:color w:val="auto"/>
              </w:rPr>
            </w:pPr>
          </w:p>
        </w:tc>
        <w:tc>
          <w:tcPr>
            <w:tcW w:w="12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1680" w:type="dxa"/>
            <w:vAlign w:val="bottom"/>
            <w:tcBorders>
              <w:top w:val="single" w:sz="8" w:color="0000FF"/>
            </w:tcBorders>
            <w:gridSpan w:val="10"/>
          </w:tcPr>
          <w:p>
            <w:pPr>
              <w:spacing w:after="0"/>
              <w:rPr>
                <w:sz w:val="18"/>
                <w:szCs w:val="18"/>
                <w:color w:val="auto"/>
              </w:rPr>
            </w:pPr>
          </w:p>
        </w:tc>
        <w:tc>
          <w:tcPr>
            <w:tcW w:w="7680" w:type="dxa"/>
            <w:vAlign w:val="bottom"/>
            <w:gridSpan w:val="15"/>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w w:val="97"/>
              </w:rPr>
              <w:t>Item 1. Business</w:t>
            </w:r>
          </w:p>
        </w:tc>
        <w:tc>
          <w:tcPr>
            <w:tcW w:w="8260" w:type="dxa"/>
            <w:vAlign w:val="bottom"/>
            <w:gridSpan w:val="20"/>
          </w:tcPr>
          <w:p>
            <w:pPr>
              <w:spacing w:after="0"/>
              <w:rPr>
                <w:sz w:val="18"/>
                <w:szCs w:val="18"/>
                <w:color w:val="auto"/>
              </w:rPr>
            </w:pPr>
          </w:p>
        </w:tc>
        <w:tc>
          <w:tcPr>
            <w:tcW w:w="12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Item 1A. Risk Factors</w:t>
            </w:r>
          </w:p>
        </w:tc>
        <w:tc>
          <w:tcPr>
            <w:tcW w:w="12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w w:val="99"/>
              </w:rPr>
              <w:t>Item 1B. Unresolved Staff Comments</w:t>
            </w:r>
          </w:p>
        </w:tc>
        <w:tc>
          <w:tcPr>
            <w:tcW w:w="6640" w:type="dxa"/>
            <w:vAlign w:val="bottom"/>
            <w:gridSpan w:val="10"/>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w w:val="88"/>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Item 1C. Cybersecurity</w:t>
            </w:r>
          </w:p>
        </w:tc>
        <w:tc>
          <w:tcPr>
            <w:tcW w:w="1060" w:type="dxa"/>
            <w:vAlign w:val="bottom"/>
            <w:gridSpan w:val="6"/>
          </w:tcPr>
          <w:p>
            <w:pPr>
              <w:spacing w:after="0"/>
              <w:rPr>
                <w:sz w:val="18"/>
                <w:szCs w:val="18"/>
                <w:color w:val="auto"/>
              </w:rPr>
            </w:pPr>
          </w:p>
        </w:tc>
        <w:tc>
          <w:tcPr>
            <w:tcW w:w="6640" w:type="dxa"/>
            <w:vAlign w:val="bottom"/>
            <w:gridSpan w:val="10"/>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w w:val="88"/>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Item 2. Properties</w:t>
            </w:r>
          </w:p>
        </w:tc>
        <w:tc>
          <w:tcPr>
            <w:tcW w:w="420" w:type="dxa"/>
            <w:vAlign w:val="bottom"/>
            <w:gridSpan w:val="3"/>
          </w:tcPr>
          <w:p>
            <w:pPr>
              <w:spacing w:after="0"/>
              <w:rPr>
                <w:sz w:val="18"/>
                <w:szCs w:val="18"/>
                <w:color w:val="auto"/>
              </w:rPr>
            </w:pPr>
          </w:p>
        </w:tc>
        <w:tc>
          <w:tcPr>
            <w:tcW w:w="7700" w:type="dxa"/>
            <w:vAlign w:val="bottom"/>
            <w:gridSpan w:val="16"/>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w w:val="88"/>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w w:val="98"/>
              </w:rPr>
              <w:t>Item 3. Legal Proceedings</w:t>
            </w:r>
          </w:p>
        </w:tc>
        <w:tc>
          <w:tcPr>
            <w:tcW w:w="7520" w:type="dxa"/>
            <w:vAlign w:val="bottom"/>
            <w:gridSpan w:val="14"/>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w w:val="88"/>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w w:val="98"/>
              </w:rPr>
              <w:t>Item 4. Mine Safety Disclosures</w:t>
            </w:r>
          </w:p>
        </w:tc>
        <w:tc>
          <w:tcPr>
            <w:tcW w:w="7080" w:type="dxa"/>
            <w:vAlign w:val="bottom"/>
            <w:gridSpan w:val="12"/>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w w:val="88"/>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Item 5. Market for Registrant's Common Equity, Related Stockholder Matters and Issuer Purchases of Equity</w:t>
            </w:r>
          </w:p>
        </w:tc>
        <w:tc>
          <w:tcPr>
            <w:tcW w:w="12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rPr>
              <w:t>23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80" w:type="dxa"/>
            <w:vAlign w:val="bottom"/>
            <w:tcBorders>
              <w:top w:val="single" w:sz="8" w:color="0000FF"/>
            </w:tcBorders>
            <w:gridSpan w:val="25"/>
          </w:tcPr>
          <w:p>
            <w:pPr>
              <w:spacing w:after="0" w:line="169" w:lineRule="exact"/>
              <w:rPr>
                <w:sz w:val="20"/>
                <w:szCs w:val="20"/>
                <w:color w:val="auto"/>
              </w:rPr>
            </w:pPr>
            <w:r>
              <w:rPr>
                <w:rFonts w:ascii="Times New Roman" w:cs="Times New Roman" w:eastAsia="Times New Roman" w:hAnsi="Times New Roman"/>
                <w:sz w:val="18"/>
                <w:szCs w:val="18"/>
                <w:b w:val="1"/>
                <w:bCs w:val="1"/>
                <w:color w:val="0000FF"/>
              </w:rPr>
              <w:t>Securities</w:t>
            </w:r>
          </w:p>
        </w:tc>
        <w:tc>
          <w:tcPr>
            <w:tcW w:w="10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Item 6. [Reserved]</w:t>
            </w:r>
          </w:p>
        </w:tc>
        <w:tc>
          <w:tcPr>
            <w:tcW w:w="12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Item 7. Management's Discussion and Analysis of Financial Condition and Results of Operations</w:t>
            </w:r>
          </w:p>
        </w:tc>
        <w:tc>
          <w:tcPr>
            <w:tcW w:w="12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w w:val="99"/>
              </w:rPr>
              <w:t>Item 7A. Quantitative and Qualitative Disclosures About Market Risk</w:t>
            </w:r>
          </w:p>
        </w:tc>
        <w:tc>
          <w:tcPr>
            <w:tcW w:w="2020" w:type="dxa"/>
            <w:vAlign w:val="bottom"/>
            <w:gridSpan w:val="3"/>
          </w:tcPr>
          <w:p>
            <w:pPr>
              <w:spacing w:after="0"/>
              <w:rPr>
                <w:sz w:val="18"/>
                <w:szCs w:val="18"/>
                <w:color w:val="auto"/>
              </w:rPr>
            </w:pPr>
          </w:p>
        </w:tc>
        <w:tc>
          <w:tcPr>
            <w:tcW w:w="21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w w:val="88"/>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Item 8. Financial Statements and Supplementary Data</w:t>
            </w:r>
          </w:p>
        </w:tc>
        <w:tc>
          <w:tcPr>
            <w:tcW w:w="4120" w:type="dxa"/>
            <w:vAlign w:val="bottom"/>
            <w:gridSpan w:val="5"/>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w w:val="88"/>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Item 9. Changes in and Disagreements with Accountants on Accounting and Financial Disclosure</w:t>
            </w:r>
          </w:p>
        </w:tc>
        <w:tc>
          <w:tcPr>
            <w:tcW w:w="12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w w:val="95"/>
              </w:rPr>
              <w:t>Item 9A. Controls and Procedures</w:t>
            </w:r>
          </w:p>
        </w:tc>
        <w:tc>
          <w:tcPr>
            <w:tcW w:w="4840" w:type="dxa"/>
            <w:vAlign w:val="bottom"/>
            <w:gridSpan w:val="9"/>
          </w:tcPr>
          <w:p>
            <w:pPr>
              <w:spacing w:after="0"/>
              <w:rPr>
                <w:sz w:val="18"/>
                <w:szCs w:val="18"/>
                <w:color w:val="auto"/>
              </w:rPr>
            </w:pPr>
          </w:p>
        </w:tc>
        <w:tc>
          <w:tcPr>
            <w:tcW w:w="21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w w:val="88"/>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8"/>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4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Item 9B. Other Information</w:t>
            </w:r>
          </w:p>
        </w:tc>
        <w:tc>
          <w:tcPr>
            <w:tcW w:w="6940" w:type="dxa"/>
            <w:vAlign w:val="bottom"/>
            <w:gridSpan w:val="11"/>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w w:val="88"/>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8"/>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Item 9C. Disclosure Regarding Foreign Jurisdictions that Prevent Inspections</w:t>
            </w:r>
          </w:p>
        </w:tc>
        <w:tc>
          <w:tcPr>
            <w:tcW w:w="12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9220" w:type="dxa"/>
            <w:vAlign w:val="bottom"/>
            <w:gridSpan w:val="22"/>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Item 10. Directors, Executive Officers, and Corporate Governance</w:t>
            </w:r>
          </w:p>
        </w:tc>
        <w:tc>
          <w:tcPr>
            <w:tcW w:w="12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10"/>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Item 11. Executive Compensation</w:t>
            </w:r>
          </w:p>
        </w:tc>
        <w:tc>
          <w:tcPr>
            <w:tcW w:w="4420" w:type="dxa"/>
            <w:vAlign w:val="bottom"/>
            <w:gridSpan w:val="6"/>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w w:val="88"/>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w w:val="99"/>
              </w:rPr>
              <w:t>Item 12. Security Ownership of Certain Beneficial Owners and Management and Related Stockholder Matters</w:t>
            </w: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w w:val="88"/>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Item 13. Certain Relationships and Related Transactions, and Director Independence</w:t>
            </w: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w w:val="88"/>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2960" w:type="dxa"/>
            <w:vAlign w:val="bottom"/>
            <w:gridSpan w:val="1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Item 14. Principal Accountant Fees and Services</w:t>
            </w:r>
          </w:p>
        </w:tc>
        <w:tc>
          <w:tcPr>
            <w:tcW w:w="2980" w:type="dxa"/>
            <w:vAlign w:val="bottom"/>
            <w:gridSpan w:val="3"/>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w w:val="88"/>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2960" w:type="dxa"/>
            <w:vAlign w:val="bottom"/>
            <w:gridSpan w:val="1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6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9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300" w:type="dxa"/>
            <w:vAlign w:val="bottom"/>
            <w:gridSpan w:val="13"/>
          </w:tcPr>
          <w:p>
            <w:pPr>
              <w:spacing w:after="0" w:line="20" w:lineRule="exact"/>
              <w:rPr>
                <w:sz w:val="1"/>
                <w:szCs w:val="1"/>
                <w:color w:val="auto"/>
              </w:rPr>
            </w:pPr>
          </w:p>
        </w:tc>
        <w:tc>
          <w:tcPr>
            <w:tcW w:w="5460" w:type="dxa"/>
            <w:vAlign w:val="bottom"/>
            <w:gridSpan w:val="8"/>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w w:val="99"/>
              </w:rPr>
              <w:t>Item 15. Exhibits and Financial Statement Schedules</w:t>
            </w:r>
          </w:p>
        </w:tc>
        <w:tc>
          <w:tcPr>
            <w:tcW w:w="5460" w:type="dxa"/>
            <w:vAlign w:val="bottom"/>
            <w:gridSpan w:val="8"/>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w w:val="88"/>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right w:val="single" w:sz="8" w:color="0000FF"/>
            </w:tcBorders>
            <w:gridSpan w:val="5"/>
            <w:shd w:val="clear" w:color="auto" w:fill="0000FF"/>
          </w:tcPr>
          <w:p>
            <w:pPr>
              <w:spacing w:after="0" w:line="20" w:lineRule="exact"/>
              <w:rPr>
                <w:sz w:val="1"/>
                <w:szCs w:val="1"/>
                <w:color w:val="auto"/>
              </w:rPr>
            </w:pPr>
          </w:p>
        </w:tc>
        <w:tc>
          <w:tcPr>
            <w:tcW w:w="3300" w:type="dxa"/>
            <w:vAlign w:val="bottom"/>
            <w:gridSpan w:val="13"/>
            <w:shd w:val="clear" w:color="auto" w:fill="0000FF"/>
          </w:tcPr>
          <w:p>
            <w:pPr>
              <w:spacing w:after="0" w:line="20" w:lineRule="exact"/>
              <w:rPr>
                <w:sz w:val="1"/>
                <w:szCs w:val="1"/>
                <w:color w:val="auto"/>
              </w:rPr>
            </w:pPr>
          </w:p>
        </w:tc>
        <w:tc>
          <w:tcPr>
            <w:tcW w:w="546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2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0000FF"/>
              </w:rPr>
              <w:t>84</w:t>
            </w:r>
          </w:p>
        </w:tc>
        <w:tc>
          <w:tcPr>
            <w:tcW w:w="0" w:type="dxa"/>
            <w:vAlign w:val="bottom"/>
          </w:tcPr>
          <w:p>
            <w:pPr>
              <w:spacing w:after="0"/>
              <w:rPr>
                <w:sz w:val="1"/>
                <w:szCs w:val="1"/>
                <w:color w:val="auto"/>
              </w:rPr>
            </w:pPr>
          </w:p>
        </w:tc>
      </w:tr>
      <w:tr>
        <w:trPr>
          <w:trHeight w:val="1243"/>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References to “we,” “us,” “our,” “Beazer,” “Beazer Homes” and the “Company” in this Annual Report on Form 10-K refer to Beazer Homes USA,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This Annual Report on Form 10-K (Form 10-K), as well as some statements by us in periodic press releases and other public disclosures and some oral statements by us to analysts, stockholders and others during presentations, are “forward-looking statements” within the meaning of the Private Securities Litigation Reform Act of 1995. These forward-looking statements represent our expectations or beliefs concerning future events or results, and it is possible that such events or results described in this Form 10-K will not occur or be achieved. These forward-looking statements can generally be identified by the use of statements that include words such as "outlook," "may," "will," "strategy," "believe," "expect," "anticipate," "inspires," "intend," "plan," "foresee," "likely," "goal," "target," "estimate," "should," "project," "initial" or other similar words or phrases.</w:t>
      </w:r>
    </w:p>
    <w:p>
      <w:pPr>
        <w:spacing w:after="0" w:line="1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These forward-looking statements involve risks, uncertainties and other factors, many of which are outside of our control, that could cause actual events or results to differ materially from the results discussed in the forward-looking statements, including, among other things, the matters discussed in this Form 10-K in the section captioned “</w:t>
      </w:r>
      <w:r>
        <w:rPr>
          <w:rFonts w:ascii="Times New Roman" w:cs="Times New Roman" w:eastAsia="Times New Roman" w:hAnsi="Times New Roman"/>
          <w:sz w:val="18"/>
          <w:szCs w:val="18"/>
          <w:u w:val="single" w:color="auto"/>
          <w:color w:val="0000FF"/>
        </w:rPr>
        <w:t>Management’s Discussion and Analysis of Financial Condition and Results of Operations</w:t>
      </w:r>
      <w:r>
        <w:rPr>
          <w:rFonts w:ascii="Times New Roman" w:cs="Times New Roman" w:eastAsia="Times New Roman" w:hAnsi="Times New Roman"/>
          <w:sz w:val="18"/>
          <w:szCs w:val="18"/>
          <w:color w:val="auto"/>
        </w:rPr>
        <w:t>.” Additional information about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0</wp:posOffset>
            </wp:positionV>
            <wp:extent cx="364299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2995" cy="128905"/>
                    </a:xfrm>
                    <a:prstGeom prst="rect">
                      <a:avLst/>
                    </a:prstGeom>
                    <a:noFill/>
                  </pic:spPr>
                </pic:pic>
              </a:graphicData>
            </a:graphic>
          </wp:anchor>
        </w:drawing>
      </w:r>
    </w:p>
    <w:p>
      <w:pPr>
        <w:jc w:val="both"/>
        <w:spacing w:after="0"/>
        <w:rPr>
          <w:sz w:val="20"/>
          <w:szCs w:val="20"/>
          <w:color w:val="auto"/>
        </w:rPr>
      </w:pPr>
      <w:r>
        <w:rPr>
          <w:rFonts w:ascii="Times New Roman" w:cs="Times New Roman" w:eastAsia="Times New Roman" w:hAnsi="Times New Roman"/>
          <w:sz w:val="18"/>
          <w:szCs w:val="18"/>
          <w:color w:val="auto"/>
        </w:rPr>
        <w:t xml:space="preserve">factors that could lead to material changes is contained in </w:t>
      </w:r>
      <w:r>
        <w:rPr>
          <w:rFonts w:ascii="Times New Roman" w:cs="Times New Roman" w:eastAsia="Times New Roman" w:hAnsi="Times New Roman"/>
          <w:sz w:val="18"/>
          <w:szCs w:val="18"/>
          <w:u w:val="single" w:color="auto"/>
          <w:color w:val="0000FF"/>
        </w:rPr>
        <w:t>Part I, Item 1A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Risk Factors</w:t>
      </w:r>
      <w:r>
        <w:rPr>
          <w:rFonts w:ascii="Times New Roman" w:cs="Times New Roman" w:eastAsia="Times New Roman" w:hAnsi="Times New Roman"/>
          <w:sz w:val="18"/>
          <w:szCs w:val="18"/>
          <w:color w:val="auto"/>
        </w:rPr>
        <w:t xml:space="preserve"> of this Form 10-K for the fiscal year ended September 30, 2025. These factors are not intended to be an all-inclusive list of risks and uncertainties that may affect the operations, performance, development and results of our business, but instead are the risks that we currently perceive as potentially being material. Such factors may include:</w:t>
      </w:r>
    </w:p>
    <w:p>
      <w:pPr>
        <w:spacing w:after="0" w:line="144" w:lineRule="exact"/>
        <w:rPr>
          <w:sz w:val="20"/>
          <w:szCs w:val="20"/>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uncertainty, including high levels of inflation, elevated interest rates and insurance costs, stock market volatility, the current U.S. government shutdown, and historic changes in U.S. trade policy, negatively impacting consumer sentiment and softening demand for the homes we sell;</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elevated mortgage interest rates for prolonged periods, as well as further increases to, and reduced availability of, mortgage financing;</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challenges (including as a result of U.S. trade policies and retaliatory responses from other countries) negatively impacting our homebuilding production, including shortages of raw materials and other critical components such as windows, doors, and appliances;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or achieve our sustainability related goals, aspirations, initiatives, and our public statements and disclosures regarding them;</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related to homes to be delivered in the future (backlog), as they are subject to various cancellation risks that cannot be fully controlled;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margins, such as adjustments to home pricing, increased sales incentives and mortgage rate buy down programs in order to remain competitive;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revenues;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land values underlying land option agreements;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land development costs in communities under development or delays or difficulties in implementing initiatives to reduce our cycle times and production and overhead cost structures;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able to pass on cost increases (including cost increases due to increasing the energy efficiency of our homes) through pricing increases;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land and the risks associated with the future value of our inventory, including impairments and abandonment charges;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debt and/or equity capital, due to factors such as limitations in the capital markets (including market volatility), adverse credit market conditions and financial institution disruptions, and our ability to otherwise meet our ongoing liquidity needs (which could cause us to fail to meet the terms of our covenants and other requirements under our various debt instruments and therefore trigger an acceleration of a significant portion or all of our outstanding debt obligations), including the impact of any downgrades of our credit ratings or reduction in our liquidity levels;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perceptions regarding any capital raising initiatives we may undertake (including future issuances of equity or debt capital);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inefficient or ineffective allocation of capital, including with respect to planned share repurchases;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such as the recently passed One Big Beautiful Bill Act (OBBBA), or otherwise regarding the deductibility of mortgage interest expenses and real estate taxes, including those resulting from regulatory guidance and interpretations issued with respect thereto, such as the IRS's guidance regarding heightened qualification requirements for federal credits for building energy-efficient homes;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or delays in reacting to changing consumer preferences in home design;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or other related events that could result in delays in land development or home construction, increase our costs or decrease demand in the impacted areas;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or increased costs for labor used in housing production, including as a result of federal or state legislation, and/or enforcement, and the level of quality and craftsmanship provided by such labor;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protests and civil unrest, political uncertainty, acts of war or other factors over which the Company has no control, such as the conflict between Russia and Ukraine, the instability and tension in Gaza, and other instabilities and tensions in the Middle East;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recoverability of our deferred tax assets;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or increased costs in obtaining necessary permits as a result of changes to, or complying with, laws, regulations or governmental policies, and possible penalties for failure to comply with such laws, regulations or governmental policies, including those related to the environment;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litigation or government proceedings and fulfillment of any related obligations;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construction defect and home warranty claims;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insurance and surety bonds, as well as the sufficiency of these instruments to cover potential losses incurred;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information technology failures, cybersecurity issues or data security breaches, including cybersecurity incidents deploying evolving artificial intelligence tools and incidents impacting third-party service providers that we depend on to conduct our business;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governmental regulations on homebuilding in key markets, such as regulations limiting the availability of water and electricity (including availability of electrical equipment such as transformers and meters);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sustainability initiatives, as well as the success of any other related partnerships or pilot programs we may enter into in order to increase the energy efficiency of our homes.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forward-looking statement, including any statement expressing confidence regarding future outcomes, speaks only as of the date on which such statement is made and, except as required by law, we undertake no obligation to update any forward-looking statement to reflect events or circumstances after the date on which such statement is made or to reflect the occurrence of unanticipated events. New factors emerge from time to time, and it is not possible to predict all such factors.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Beazer Homes is a nationally recognized homebuilder committed to building homes and communities designed with the intention of inspiring sustainable and healthier living. With personalized options and expert guidance, we empower homebuyers with competitive mortgage choices and energy saving features that make homeownership more attainable. Operating across 13 states in the West, East, and Southeast geographic regions of the United States, Beazer Homes offers a diverse portfolio of products tailored to meet the evolving needs of homebuyers that value a well-constructed and energy efficient home.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Beazer Homes USA, Inc. was incorporated in Delaware in 1993. Our principal executive offices are located at 2002 Summit Blvd NE, 15th Floor, Atlanta, GA 30319, and our main telephone number is (770) 829-3700. We also provide information about our company, including active communities, online at www.beazer.com. Information on our website is not a part of this Form 10-K and shall not be deemed incorporated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execute against our long-term balanced growth strategy, which is focused on growing profitability, improving balance sheet efficiency, and generating returns above our cost of capital, while minimizing operational risk and financial leverage. In response to changing market conditions, we intend to balance decreasing leverage and returning capital to investors through stock repurchases, as we make investments to grow the business long-term.</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Earlier this year, we updated our Multi-Year Goals, originally introduced in fiscal 2023, which reflected objectives aligned with our balanced growth strategy. For fiscal 2026, we expect continued progress on these goals, which include:</w:t>
      </w:r>
    </w:p>
    <w:p>
      <w:pPr>
        <w:spacing w:after="0" w:line="10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more than 200 active communities by the end of fiscal 2027,</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our net debt to net capitalization ratio to the low 30% range by the end of fiscal 2027,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 double-digit compound annual growth rate in book value per share from the end of fiscal 2024 through fiscal 2027.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Differentiating Beazer Homes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Beazer crafts homes intended to inspire sustainable and healthier living. We focus on four points of strategic differentiation that we believe deliver meaningful financial and lifestyle benefits to our buyers. Our points of differentiation are as follows:</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Advanced Home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Every Beazer home is built to deliver measurable, industry-leading advantages in efficiency, comfort, and durability.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standards support healthier, quieter and more comfortable living environments while reducing ongoing operating costs, particularly in regard to energy efficiency and utility bills. Key performance elements include:</w:t>
      </w:r>
    </w:p>
    <w:p>
      <w:pPr>
        <w:spacing w:after="0" w:line="121" w:lineRule="exact"/>
        <w:rPr>
          <w:sz w:val="20"/>
          <w:szCs w:val="20"/>
          <w:color w:val="auto"/>
        </w:rPr>
      </w:pPr>
    </w:p>
    <w:p>
      <w:pPr>
        <w:jc w:val="both"/>
        <w:ind w:left="660" w:hanging="328"/>
        <w:spacing w:after="0" w:line="24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Savings: This is one of several ways we are helping buyers address increasingly prevalent affordability concerns. We have become a leading energy-efficient homebuilder, delivering proven efficiency and lowering monthly utility costs to our customers. To quantify and convey the benefits of our construction, we provide buyers with an individual energy rating (HERS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score) for their home, completed by a qualified third-party rating company. According to the Residential Energy Services Network, used homes typically have a HERS index score (a lower score on scale is better) of 130, while homes built to the same standard as the HERS Reference Home (equivalent to the 2006 International Energy Conservation Code) have a HERS index score of 100. By comparison, new Beazer homes had an average HERS index score of 32 for the fiscal year ended September 30, 2025, demonstrating the significant outperformance resulting from our construction.</w:t>
      </w:r>
    </w:p>
    <w:p>
      <w:pPr>
        <w:spacing w:after="0" w:line="142"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commitment to energy efficiency, substantially all of Beazer’s newly constructed homes meet the Department of Energy's Zero Energy Ready standard, meaning an appropriately sized renewable energy source (such as solar) can supply all of the home's energy needs, minimizing usage and expenses. By ensuring all homes have the proper infrastructure for solar installation (solar-ready), we are enabling customers to pursue solar investments on their own timeframe, while still providing the significant benefits of highly efficient construction. Further, we have begun introducing solar-included communities, in which every home will include a fully installed solar energy system.</w:t>
      </w:r>
    </w:p>
    <w:p>
      <w:pPr>
        <w:spacing w:after="0" w:line="12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Cleaner Air: Through our commitment to the U.S. Environmental Protection Agency's (the EPA) Indoor AirPlus program, we are creating a healthier breathing environment for our homeowners with HVAC systems specifically designed to deliver improved indoor air quality.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Quieter Home: Our enhanced building practices include added insulation that not only minimizes temperature fluctuations and improve energy efficiency, but also reduces noise, creating a more peaceful and comfortable living environment.</w:t>
      </w:r>
    </w:p>
    <w:p>
      <w:pPr>
        <w:spacing w:after="0" w:line="10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Curated Choices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Beazer has long been known for offering choices, and we have expanded and reframed what choice means to better meet the evolving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needs of our homebuyers.</w:t>
      </w:r>
    </w:p>
    <w:p>
      <w:pPr>
        <w:spacing w:after="0" w:line="106" w:lineRule="exact"/>
        <w:rPr>
          <w:sz w:val="20"/>
          <w:szCs w:val="20"/>
          <w:color w:val="auto"/>
        </w:rPr>
      </w:pPr>
    </w:p>
    <w:p>
      <w:pPr>
        <w:jc w:val="both"/>
        <w:ind w:left="660" w:hanging="328"/>
        <w:spacing w:after="0" w:line="25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Choice: Most of our buyers either require or opt into financing to purchase a new home. Unlike many of our major competitors, we have no ownership or other financial interest in a mortgage company nor do we provide mortgage origination services. Instead, for every Beazer community, we identify Choice Lenders, who are selected for their ability to provide a comprehensive array of products and programs, ability to meet our high customer service standards, and their willingness to compete to earn our customer’s business. This helps our customers get competitive interest rates, fees, and service levels. We then provide an industry-leading online comparison tool that helps customers easily compare multiple mortgage offers from Choice Lenders and other lenders side by side. This often results in cost savings versus other financing alternatives, further helping our buyers address affordability constraints. Approximately 84% of our fiscal 2025 customers elected to finance a portion of their home purchase.</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Choice Plans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We have designed flexible layouts that adapt to the different lifestyles of each targeted buyer segment. At no additional cost, homebuyers can select variations to primary living spaces such as kitchens and bathrooms. We also have options that can make homes safer and more accessible.</w:t>
      </w:r>
    </w:p>
    <w:p>
      <w:pPr>
        <w:spacing w:after="0" w:line="14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Style Choice: By streamlining design selections, we help buyers feel confident in the features they choose. Style Choice reduces stress that can come with designing a home, while ensuring buyers receive high-quality and complementary finishes. Through carefully curated design packages with a range of aesthetics and design studio consultations, buyers can better visualize their home’s interior finishes, leading to higher satisfaction and smoother closings.</w:t>
      </w:r>
    </w:p>
    <w:p>
      <w:pPr>
        <w:spacing w:after="0" w:line="12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Elevated Experiences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understand that buying a home is an important milestone, so we have designed a process intended to deliver an elevated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that begins well before move-in day and continues long after.</w:t>
      </w:r>
    </w:p>
    <w:p>
      <w:pPr>
        <w:spacing w:after="0" w:line="106" w:lineRule="exact"/>
        <w:rPr>
          <w:sz w:val="20"/>
          <w:szCs w:val="20"/>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Trusted Team: Every Beazer employee that homebuyers interact with is trained to provide support and guidance throughout the homebuying journey. Through our GuildQuality and Trust Builder surveys, we focus on delivering an outstanding customer experience, from the moment a potential buyer enters our system to years after closing. Among the nation's largest homebuilders, Beazer Homes has been ranked #1 in customer experience by Trust Builder for each of the past four years.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Easy Shopping: Clear, accessible tools allow our homebuyers to feel connected and involved during their purchasing process. From an easy-to-navigate website and personalized interactions with our sales team, to consideration of how buyers prefer to tour our models, we strive to make the shopping experience feel as positive as the experience of living in one of our homes.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Care: Even after closing, our Customer Care and Customer Advocate teams work to ensure that our homeowners feel confident in their decision to own a Beazer home. In addition, our comprehensive warranty program supports homeowners when concerns arise, as well as educate them on how to maintain their high-performance homes.</w:t>
      </w:r>
    </w:p>
    <w:p>
      <w:pPr>
        <w:spacing w:after="0" w:line="12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Community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Beazer understands that homes exist within a broader social ecosystem. For today’s buyers, purchasing decisions are influenced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by the quality or value of a product, but also by alignment with their personal values.</w:t>
      </w:r>
    </w:p>
    <w:p>
      <w:pPr>
        <w:spacing w:after="0" w:line="106" w:lineRule="exact"/>
        <w:rPr>
          <w:sz w:val="20"/>
          <w:szCs w:val="20"/>
          <w:color w:val="auto"/>
        </w:rPr>
      </w:pPr>
    </w:p>
    <w:p>
      <w:pPr>
        <w:jc w:val="both"/>
        <w:ind w:left="660" w:hanging="328"/>
        <w:spacing w:after="0" w:line="25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Charitable Giving: We established both Charity Title Agency and Charity Home Insurance Agency to make a positive impact in the communities where our customers and employees live and work. Charity Title Agency and Charity Home Insurance Agency are both wholly-owned by Beazer Homes and donate 100% of their net profits, after normal business expenses, taxes, reserves, and mission-related costs, to the Beazer Charity Foundation (the Foundation), our philanthropic arm. The Foundation, a 501(c)(3) private foundation governed by a Board of Directors, distributes these funds to vetted national and local non-profits. This unique structure can help us make a lasting and meaningful impact in the communities we serve. During the fiscal year ended September 30, 2025, contributions to the Foundation totaled $2.2 million.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 w:name="page8"/>
    <w:bookmarkEnd w:id="7"/>
    <w:p>
      <w:pPr>
        <w:jc w:val="both"/>
        <w:ind w:left="6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Commitments: As a part of our commitment to community impact, we encourage employees to actively contribute their time and talents to charitable and community causes. In March 2025, we held our inaugural Day of Service, a day devoted to making a collective impact in the community. In just one day, our employees contributed more than 4,000 volunteer hours to both national and local charitable organizations. Providing opportunities for employees across the country to serve the communities where they live and work is a critical part of our Company's culture.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active homebuilding operations consist of the development, design, construction, marketing, and sale of homes in the following markets: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Region/State</w:t>
            </w:r>
          </w:p>
        </w:tc>
        <w:tc>
          <w:tcPr>
            <w:tcW w:w="7960" w:type="dxa"/>
            <w:vAlign w:val="bottom"/>
          </w:tcPr>
          <w:p>
            <w:pPr>
              <w:ind w:left="4480"/>
              <w:spacing w:after="0"/>
              <w:rPr>
                <w:sz w:val="20"/>
                <w:szCs w:val="20"/>
                <w:color w:val="auto"/>
              </w:rPr>
            </w:pPr>
            <w:r>
              <w:rPr>
                <w:rFonts w:ascii="Times New Roman" w:cs="Times New Roman" w:eastAsia="Times New Roman" w:hAnsi="Times New Roman"/>
                <w:sz w:val="18"/>
                <w:szCs w:val="18"/>
                <w:b w:val="1"/>
                <w:bCs w:val="1"/>
                <w:color w:val="auto"/>
              </w:rPr>
              <w:t>Market(s)</w:t>
            </w: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West:</w:t>
            </w:r>
          </w:p>
        </w:tc>
        <w:tc>
          <w:tcPr>
            <w:tcW w:w="7960" w:type="dxa"/>
            <w:vAlign w:val="bottom"/>
            <w:shd w:val="clear" w:color="auto" w:fill="CCEEFF"/>
          </w:tcPr>
          <w:p>
            <w:pPr>
              <w:spacing w:after="0"/>
              <w:rPr>
                <w:sz w:val="19"/>
                <w:szCs w:val="19"/>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7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Phoenix</w:t>
            </w: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796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Riverside-San Bernardino, Sacramento, San Diego</w:t>
            </w: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7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Las Vegas</w:t>
            </w: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796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Dallas/Ft. Worth, Houston, San Antonio</w:t>
            </w: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East:</w:t>
            </w:r>
          </w:p>
        </w:tc>
        <w:tc>
          <w:tcPr>
            <w:tcW w:w="7960" w:type="dxa"/>
            <w:vAlign w:val="bottom"/>
          </w:tcPr>
          <w:p>
            <w:pPr>
              <w:spacing w:after="0"/>
              <w:rPr>
                <w:sz w:val="19"/>
                <w:szCs w:val="19"/>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Indiana</w:t>
            </w:r>
          </w:p>
        </w:tc>
        <w:tc>
          <w:tcPr>
            <w:tcW w:w="796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Indianapolis</w:t>
            </w: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Maryland/Delaware</w:t>
            </w:r>
          </w:p>
        </w:tc>
        <w:tc>
          <w:tcPr>
            <w:tcW w:w="7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Baltimore, Salisbury, Washington D.C.</w:t>
            </w: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796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Nashville</w:t>
            </w: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7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Washington D.C.</w:t>
            </w: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Southeast:</w:t>
            </w:r>
          </w:p>
        </w:tc>
        <w:tc>
          <w:tcPr>
            <w:tcW w:w="7960" w:type="dxa"/>
            <w:vAlign w:val="bottom"/>
            <w:shd w:val="clear" w:color="auto" w:fill="CCEEFF"/>
          </w:tcPr>
          <w:p>
            <w:pPr>
              <w:spacing w:after="0"/>
              <w:rPr>
                <w:sz w:val="19"/>
                <w:szCs w:val="19"/>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7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Orlando</w:t>
            </w: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796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Atlanta</w:t>
            </w: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79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Raleigh/Durham</w:t>
            </w: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Carolina</w:t>
            </w:r>
          </w:p>
        </w:tc>
        <w:tc>
          <w:tcPr>
            <w:tcW w:w="796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Charleston, Myrtle Beach</w:t>
            </w: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a range of factors when determining which geographic markets to enter, remain, or in some cases exit. While we maintain geographic diversity across the United States to help mitigate exposure to regional economic cycles, our decisions extend well beyond land opportunities. We focus on markets where our product offerings and community designs align with buyer demand, and where demographic and economic trends indicate long-term strength. These evaluations incorporate data such as employment and labor market conditions, affordability, land prices and availability, competitive dynamics, and our historical operating results, enabling us to direct capital to markets where we believe we can maximize profitability and returns.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Within each market, we carefully tailor our product lineup to meet the needs of defined buyer segments, including entry-level, move-up, and 55+ age-restricted communities. Our approach is guided by detailed buyer profiles that incorporate demographic and psychological insights such as age, household size, employment, affluence, lifestyle preferences, media habits, and relocation patterns. These profiles inform our decisions on floorplans, amenities, pricing, and targeted marketing strategies, ensuring we are not just building homes, but creating communities that reflect how our customers want to live. To better serve the 55+ category, our Gatherings® brand offers condominiums, villas, duets, and single-family homes that deliver quality and lower-maintenance living in active adult communities. Although we offer a range of personalization and amenity options, we do not construct custom homes.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1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make extensive use of digital and traditional marketing strategies to attract customers at all stages of their homebuying process. Whether we are driving engagement through our website and real estate listing sites or through digital advertising, social media, video, brochures, and on-site signage, our goal is to reduce any barriers to entry for homebuyers to discover and connect with our communities. We have also built strong brand recognition through internet domain names and the use of trademarks that are either registered or pending registration, including Beazer Homes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Gatherings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Choice Plans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Reflecting our commitment to quality, comfort, and attainability, our marketing tagline, </w:t>
      </w:r>
      <w:r>
        <w:rPr>
          <w:rFonts w:ascii="Times New Roman" w:cs="Times New Roman" w:eastAsia="Times New Roman" w:hAnsi="Times New Roman"/>
          <w:sz w:val="18"/>
          <w:szCs w:val="18"/>
          <w:i w:val="1"/>
          <w:iCs w:val="1"/>
          <w:color w:val="auto"/>
        </w:rPr>
        <w:t>Enjoy the Great Indoors</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color w:val="auto"/>
        </w:rPr>
        <w:t>, captures the essence of what differentiates a Beazer home.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8" w:name="page9"/>
    <w:bookmarkEnd w:id="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sales tools have evolved to suit changing homebuyer preferences. We have invested in virtual experiences that make the process simpler and more flexible, including 24/7 chatbot support, self-service appointment booking, and self-guided tours that allow buyers to explore homes on their own schedule.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Model homes remain central to our customer experience. As of September 30, 2025, we operated 259 model homes across our communities, each designed to inspire and showcase life in a Beazer home. Inside, buyers find more than beautifully furnished and landscaped spaces. They discover interactive and hands-on tools like digital kiosks, site maps, magnetic floor plan boards, and cutaway home displays that showcase our construction and materials. These features provide a concrete visual aid of the innovative building science incorporated into every home, allowing for a more memorable, engaging and informative experience.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homes are customarily sold through commissioned new home sales counselors (who work from sales offices located in the model homes used in the community) as well as through independent realtors. Our new home sales counselors are trained through a comprehensive internal program and are equipped with deep knowledge of our operating policies, housing product, communities, and differentiators. They guide buyers through every step, from exploring floorplans and pricing to highlighting savings opportunities and explaining the unique features of each Beazer community. Sales personnel must be licensed real estate agents where required by law.</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most of our homes have been sold on a to-be-built (TBB) basis, meaning we did not begin construction until we had a signed contract with a customer. However, in response to evolving market conditions, we have strategically increased the number of speculative (spec) homes, homes started without a signed agreement, in many of our communities. Depending on local market conditions, we have also offered sales incentives to make the path to homeownership even more accessible.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Overview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perform the following functions at our corporate office to promote standardization and operational excellence:</w:t>
      </w:r>
    </w:p>
    <w:p>
      <w:pPr>
        <w:spacing w:after="0" w:line="11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select geographic markets;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capital resources for land acquisitions;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develop relationships with lenders and capital markets to create and maintain access to financial resources;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develop relationships with national product vendors;</w:t>
      </w:r>
    </w:p>
    <w:p>
      <w:pPr>
        <w:spacing w:after="0" w:line="11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various centralized functions including accounting, finance, purchasing, legal, risk, planning/design, and marketing activities to support our field operations;</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and manage information systems and technology support operations; and</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the operations of our divisions and trade partners.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allocate capital resources in a manner consistent with our overall business strategy. We will vary our capital allocation based on market conditions, results of operations, and other factors. Capital commitments are determined through consultation among executive and operational personnel who play an important role in ensuring that new investments are consistent with our strategy. Financial controls are also maintained through the centralization and standardization of accounting and finance activities, policies, and procedures.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Field Operations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development and construction of each of our communities is managed by our operating divisions, each of which is led by a regional market leader and/or an area president who reports to our Chief Executive Officer. Within our operating divisions, our field teams are equipped with the skills needed to complete the functions of land acquisition, land entitlement, land development, home construction, local marketing, sales, warranty service, and certain purchasing and planning/design functions. However, the accounting and accounts payable functions of our field operations are concentrated in our national accounting center, which we consider to be part of our corporate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Land Acquisition and Development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the land we acquire is purchased only after necessary entitlements have been obtained so that we have the right to begin development or construction as market conditions dictate. The term “entitlements” refers to subdivision approvals, development agreements, tentative maps, or recorded plats, depending on the jurisdiction in which the land is located. Entitlements generally give a developer the right to obtain development permits and ensure compliance with conditions that are usually within the developer's control. Although entitlements are ordinarily obtained prior to the purchase of land, we may still be required to obtain a variety of other governmental approvals and permits during the development process. In limited circumstances, we will purchase property without all necessary entitlements where we have identified an opportunity to build on such property in a manner consistent with our strategy.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select land for purchase based upon a variety of factors, including but not limited to:</w:t>
      </w:r>
    </w:p>
    <w:p>
      <w:pPr>
        <w:spacing w:after="0" w:line="11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and external demographic and marketing studies;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suitability for development during the time period of generally one to five years from the beginning of the development process to the last closing;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review as to the feasibility of the proposed project, including profit margins and returns on capital employed;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governmental approvals and entitlements;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legal due diligence;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area;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to local traffic corridors, job centers, and other amenities;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judgment of the real estate market and economic trends and our experience in a particular market.</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generally purchase land or obtain an option to purchase land, which, in either case, requires certain site improvements prior to home construction. Where required, we then undertake, or the grantor of the land purchase option then undertakes, the development activities (through contractual arrangements with local developers, general contractors, and/or subcontractors), which include site planning and engineering as well as constructing roads, water, sewer, and utility infrastructures, drainage and recreational facilities, and other amenities. In some transactions, land bankers take title to the land at closing subject to agreements which obligate us to perform all development activities (which are typically reimbursed by the land bankers) with respect to the land and provide us with an option to purchase the finished lots. When available in certain markets, we also buy finished lots that are ready for home construction. During our fiscal 2025 and 2024, we continued to pursue land acquisition opportunities and develop our land positions, spending $491.9 million and $507.8 million, respectively, for land acquisition and $192.0 million and $268.7 million, respectively, for land development.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Agreements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acquire certain lots by means of option agreements from various sellers and developers, including land banking entities. Option agreements generally require the payment of a cash deposit or issuance of a letter of credit or surety bond for the right to acquire lots during a specified period of time at a specified price.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option agreements, purchase of the underlying properties is contingent upon satisfaction of certain requirements by us and the sellers. Our liability under option agreements is generally limited to forfeiture of the non-refundable deposits, letters of credit or surety bonds, and other non-refundable amounts incurred, which totaled $333.4 million as of September 30, 2025. The total remaining purchase price, net of cash deposits, committed under all land option agreements was $1.61 billion as of September 30, 2025.</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exercise, subject to market conditions and seller satisfaction of contract terms, substantially all of our option agreements. Various factors, some of which are beyond our control, such as market conditions, weather conditions, and the timing of the completion of development activities, will have a significant impact on the timing of option exercises or whether lot options will be exercised at all.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following table summarizes land controlled by us by reportable segment as of September 30,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Lots Owned</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Lots</w:t>
            </w: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80" w:type="dxa"/>
            <w:vAlign w:val="bottom"/>
          </w:tcPr>
          <w:p>
            <w:pPr>
              <w:spacing w:after="0"/>
              <w:rPr>
                <w:sz w:val="11"/>
                <w:szCs w:val="11"/>
                <w:color w:val="auto"/>
              </w:rPr>
            </w:pPr>
          </w:p>
        </w:tc>
        <w:tc>
          <w:tcPr>
            <w:tcW w:w="14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Lots with Homes</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Lots Held for</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Finished</w:t>
            </w:r>
          </w:p>
        </w:tc>
        <w:tc>
          <w:tcPr>
            <w:tcW w:w="13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Lots Under</w:t>
            </w: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Future</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Lots Held</w:t>
            </w: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Lots</w:t>
            </w: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Under</w:t>
            </w:r>
          </w:p>
        </w:tc>
        <w:tc>
          <w:tcPr>
            <w:tcW w:w="9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Total Lots</w:t>
            </w:r>
          </w:p>
        </w:tc>
        <w:tc>
          <w:tcPr>
            <w:tcW w:w="0" w:type="dxa"/>
            <w:vAlign w:val="bottom"/>
          </w:tcPr>
          <w:p>
            <w:pPr>
              <w:spacing w:after="0"/>
              <w:rPr>
                <w:sz w:val="1"/>
                <w:szCs w:val="1"/>
                <w:color w:val="auto"/>
              </w:rPr>
            </w:pPr>
          </w:p>
        </w:tc>
      </w:tr>
      <w:tr>
        <w:trPr>
          <w:trHeight w:val="146"/>
        </w:trPr>
        <w:tc>
          <w:tcPr>
            <w:tcW w:w="2280" w:type="dxa"/>
            <w:vAlign w:val="bottom"/>
          </w:tcPr>
          <w:p>
            <w:pPr>
              <w:spacing w:after="0"/>
              <w:rPr>
                <w:sz w:val="12"/>
                <w:szCs w:val="12"/>
                <w:color w:val="auto"/>
              </w:rPr>
            </w:pPr>
          </w:p>
        </w:tc>
        <w:tc>
          <w:tcPr>
            <w:tcW w:w="14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Under Construction</w:t>
            </w:r>
          </w:p>
        </w:tc>
        <w:tc>
          <w:tcPr>
            <w:tcW w:w="96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(a)</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Lots</w:t>
            </w:r>
          </w:p>
        </w:tc>
        <w:tc>
          <w:tcPr>
            <w:tcW w:w="13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Sale</w:t>
            </w: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98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Controlled</w:t>
            </w:r>
          </w:p>
        </w:tc>
        <w:tc>
          <w:tcPr>
            <w:tcW w:w="0" w:type="dxa"/>
            <w:vAlign w:val="bottom"/>
          </w:tcPr>
          <w:p>
            <w:pPr>
              <w:spacing w:after="0"/>
              <w:rPr>
                <w:sz w:val="1"/>
                <w:szCs w:val="1"/>
                <w:color w:val="auto"/>
              </w:rPr>
            </w:pPr>
          </w:p>
        </w:tc>
      </w:tr>
      <w:tr>
        <w:trPr>
          <w:trHeight w:val="209"/>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West</w:t>
            </w: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Arizona</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9"/>
                <w:szCs w:val="19"/>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California</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29"/>
        </w:trPr>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Nevada</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Texas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w:t>
            </w:r>
          </w:p>
        </w:tc>
        <w:tc>
          <w:tcPr>
            <w:tcW w:w="0" w:type="dxa"/>
            <w:vAlign w:val="bottom"/>
          </w:tcPr>
          <w:p>
            <w:pPr>
              <w:spacing w:after="0"/>
              <w:rPr>
                <w:sz w:val="1"/>
                <w:szCs w:val="1"/>
                <w:color w:val="auto"/>
              </w:rPr>
            </w:pPr>
          </w:p>
        </w:tc>
      </w:tr>
      <w:tr>
        <w:trPr>
          <w:trHeight w:val="223"/>
        </w:trPr>
        <w:tc>
          <w:tcPr>
            <w:tcW w:w="2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West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13,656</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East</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Indiana</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Maryland/Delaware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29"/>
        </w:trPr>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 Jersey</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Tennessee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Virginia</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3"/>
        </w:trPr>
        <w:tc>
          <w:tcPr>
            <w:tcW w:w="22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East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Southeast</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Florida</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29"/>
        </w:trPr>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Georgia</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Carolina</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29"/>
        </w:trPr>
        <w:tc>
          <w:tcPr>
            <w:tcW w:w="2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South Carolina</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0" w:type="dxa"/>
            <w:vAlign w:val="bottom"/>
          </w:tcPr>
          <w:p>
            <w:pPr>
              <w:spacing w:after="0"/>
              <w:rPr>
                <w:sz w:val="1"/>
                <w:szCs w:val="1"/>
                <w:color w:val="auto"/>
              </w:rPr>
            </w:pPr>
          </w:p>
        </w:tc>
      </w:tr>
      <w:tr>
        <w:trPr>
          <w:trHeight w:val="223"/>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Southeast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1,976</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3,746</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10,287</w:t>
            </w: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15,373</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25,660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category represents lots upon which construction of a home has commenced, including model homes.</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dollar value of our land under development, land held for future development, and land held for sale by reportable segment as of September 30, 2025:</w:t>
      </w:r>
    </w:p>
    <w:tbl>
      <w:tblPr>
        <w:tblLayout w:type="fixed"/>
        <w:tblInd w:w="0" w:type="dxa"/>
        <w:tblCellMar>
          <w:top w:w="0" w:type="dxa"/>
          <w:left w:w="0" w:type="dxa"/>
          <w:bottom w:w="0" w:type="dxa"/>
          <w:right w:w="0" w:type="dxa"/>
        </w:tblCellMar>
      </w:tblPr>
      <w:tr>
        <w:trPr>
          <w:trHeight w:val="147"/>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2"/>
                <w:szCs w:val="12"/>
                <w:color w:val="auto"/>
              </w:rPr>
            </w:pPr>
          </w:p>
        </w:tc>
        <w:tc>
          <w:tcPr>
            <w:tcW w:w="1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Land Under Development</w:t>
            </w:r>
          </w:p>
        </w:tc>
        <w:tc>
          <w:tcPr>
            <w:tcW w:w="220" w:type="dxa"/>
            <w:vAlign w:val="bottom"/>
          </w:tcPr>
          <w:p>
            <w:pPr>
              <w:spacing w:after="0"/>
              <w:rPr>
                <w:sz w:val="12"/>
                <w:szCs w:val="12"/>
                <w:color w:val="auto"/>
              </w:rPr>
            </w:pPr>
          </w:p>
        </w:tc>
        <w:tc>
          <w:tcPr>
            <w:tcW w:w="184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Land Held for Future</w:t>
            </w:r>
          </w:p>
        </w:tc>
        <w:tc>
          <w:tcPr>
            <w:tcW w:w="240" w:type="dxa"/>
            <w:vAlign w:val="bottom"/>
          </w:tcPr>
          <w:p>
            <w:pPr>
              <w:spacing w:after="0"/>
              <w:rPr>
                <w:sz w:val="12"/>
                <w:szCs w:val="12"/>
                <w:color w:val="auto"/>
              </w:rPr>
            </w:pPr>
          </w:p>
        </w:tc>
        <w:tc>
          <w:tcPr>
            <w:tcW w:w="17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Land Held for Sale</w:t>
            </w:r>
          </w:p>
        </w:tc>
        <w:tc>
          <w:tcPr>
            <w:tcW w:w="0" w:type="dxa"/>
            <w:vAlign w:val="bottom"/>
          </w:tcPr>
          <w:p>
            <w:pPr>
              <w:spacing w:after="0"/>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4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29,052</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Southeast</w:t>
            </w:r>
          </w:p>
        </w:tc>
        <w:tc>
          <w:tcPr>
            <w:tcW w:w="1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1,065,702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19,489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47,368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Backlog reflects the number of homes for which the Company has entered into a sales contract with a customer but has not yet delivered the home. Ending backlog represents the number of homes in backlog from the previous period plus the number of net new orders (new orders less cancellations) generated during the current period minus the number of homes closed during the current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1" w:name="page12"/>
    <w:bookmarkEnd w:id="11"/>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table summarizes units and dollar value in backlog by reportable segment as of September 30, 2025, 2024 and 2023. Refer to “Management's Discussion and Analysis of Results of Operations and Financial Condition” in Item 7 of this Form 10-K for additional information.</w:t>
      </w: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37"/>
              <w:spacing w:after="0" w:line="137" w:lineRule="exact"/>
              <w:rPr>
                <w:sz w:val="20"/>
                <w:szCs w:val="20"/>
                <w:color w:val="auto"/>
              </w:rPr>
            </w:pPr>
            <w:r>
              <w:rPr>
                <w:rFonts w:ascii="Times New Roman" w:cs="Times New Roman" w:eastAsia="Times New Roman" w:hAnsi="Times New Roman"/>
                <w:sz w:val="14"/>
                <w:szCs w:val="14"/>
                <w:b w:val="1"/>
                <w:bCs w:val="1"/>
                <w:color w:val="auto"/>
              </w:rPr>
              <w:t>Dollar Value in</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37"/>
              <w:spacing w:after="0" w:line="137" w:lineRule="exact"/>
              <w:rPr>
                <w:sz w:val="20"/>
                <w:szCs w:val="20"/>
                <w:color w:val="auto"/>
              </w:rPr>
            </w:pPr>
            <w:r>
              <w:rPr>
                <w:rFonts w:ascii="Times New Roman" w:cs="Times New Roman" w:eastAsia="Times New Roman" w:hAnsi="Times New Roman"/>
                <w:sz w:val="14"/>
                <w:szCs w:val="14"/>
                <w:b w:val="1"/>
                <w:bCs w:val="1"/>
                <w:color w:val="auto"/>
              </w:rPr>
              <w:t>Dollar Value in</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37"/>
              <w:spacing w:after="0" w:line="137" w:lineRule="exact"/>
              <w:rPr>
                <w:sz w:val="20"/>
                <w:szCs w:val="20"/>
                <w:color w:val="auto"/>
              </w:rPr>
            </w:pPr>
            <w:r>
              <w:rPr>
                <w:rFonts w:ascii="Times New Roman" w:cs="Times New Roman" w:eastAsia="Times New Roman" w:hAnsi="Times New Roman"/>
                <w:sz w:val="14"/>
                <w:szCs w:val="14"/>
                <w:b w:val="1"/>
                <w:bCs w:val="1"/>
                <w:color w:val="auto"/>
              </w:rPr>
              <w:t>Dollar Value in</w:t>
            </w: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Units in Backlog</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Backlog (in</w:t>
            </w: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Units in Backlog</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Backlog (in</w:t>
            </w: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Units in Backlog</w:t>
            </w:r>
          </w:p>
        </w:tc>
        <w:tc>
          <w:tcPr>
            <w:tcW w:w="120" w:type="dxa"/>
            <w:vAlign w:val="bottom"/>
          </w:tcPr>
          <w:p>
            <w:pPr>
              <w:spacing w:after="0"/>
              <w:rPr>
                <w:sz w:val="12"/>
                <w:szCs w:val="12"/>
                <w:color w:val="auto"/>
              </w:rPr>
            </w:pPr>
          </w:p>
        </w:tc>
        <w:tc>
          <w:tcPr>
            <w:tcW w:w="106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Backlog (in</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29"/>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276.4</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Southeast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196"/>
        </w:trPr>
        <w:tc>
          <w:tcPr>
            <w:tcW w:w="3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Company</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945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516.5</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1,482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797.2</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886.4</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Average selling price (ASP) in backlog (in</w:t>
            </w: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546.5</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Construction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typically act as the general contractor for the construction of our new home communities. Our project development activities are controlled by our operating divisions whose employees supervise the construction of each new home community by coordinating the activities of independent subcontractors and suppliers, subjecting their work to quality and cost controls and ensuring compliance with zoning and building codes. We specify that quality and durable materials be used in the construction of our homes. Our subcontractors follow design plans prepared by architects and engineers who are retained or directly employed by us and whose designs are geared to the local market and staying current with changing home design trends as well as expanding our focus on engineering without sacrificing value for our customers.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Agreements with our subcontractors and materials suppliers are generally entered into after a competitive bidding process during which we obtain information from prospective subcontractors and vendors with respect to their financial condition and ability to perform their agreements with us in accordance with the specifications we provide. Subcontractors typically are retained on a project-by-project basis to complete construction at a fixed price. We do not maintain significant inventories of construction materials, except for materials being utilized for homes under construction. We have numerous suppliers of raw materials and services used in our business. While such materials and services generally have been, and continue to be available, from time to time, supply chain disruptions may occur due to material and labor shortages, such as the widespread supply chain disruptions we experienced throughout fiscal 2022. In addition, material prices may fluctuate due to various factors, including demand or supply shortages and the price of certain commodities, which may be beyond the control of us or our vendors. When it is economically advantageous, we enter into regional and national supply contracts with certain of our vendors. We believe that we maintain positive and productive relationships with our suppliers and subcontractors.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Program</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provide a limited warranty ranging from one to two years covering workmanship and materials per our defined standards. In addition, we provide a limited warranty for up to ten years covering certain defined structural element failures.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homebuilding work is performed by subcontractors who typically must agree to indemnify us with regard to their work and provide certificates of insurance demonstrating that they have met our insurance requirements and have named us as an additional insured under their policies. Therefore, many claims relating to workmanship and materials that result in warranty spending are the primary responsibility of these subcontractors.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maintain third-party insurance, subject to applicable self-insured retentions, for most construction defects that we encounter in the normal course of business. We believe that our warranty and litigation accruals and third-party insurance are adequate to cover the ultimate resolution of our potential liabilities associated with known and anticipated warranty and construction-defect related claims and litigation. However, there can be no assurance that the terms and limitations of the limited warranty will be effective against claims made by homebuyers; that we will be able to renew our insurance coverage or renew it at reasonable rates; that we will not be liable for damages, the cost of repairs, and/or the expense of litigation surrounding possible construction defects, soil subsidence, or building related claims; or that claims will not arise out of events or circumstances not covered by insurance and/or not subject to effective indemnification agreements with our subcontractors. Please see Note 8 of the notes to the consolidated financial statements in this Form 10-K for additional information.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development and sale of residential properties is highly competitive and fragmented, as buyers weigh a variety of factors, including location and design to reputation, quality, price and operating costs, when making a home buying decision. We compete with national builders that may have greater resources, as well as local builders, resales of existing homes, and rental options.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What we believe positions us successfully is how we adapt to each market. By leveraging our experience in the regions where we operate, we tailor our product offerings to meet local demand and stay responsive to changing conditions. This includes making smart land acquisitions in desirable areas and offering a breadth of home designs that give buyers real choice.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importantly, our four aforementioned points of strategic differentiation allow us to deliver more than just a house as they create lasting value for our homeowners. From energy-efficiency capabilities to curated choices, we focus on what matters most to today’s buyers. We design homes that align with our buyers' needs, preferences, and budgets while never compromising on quality, performance, or value.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and Quarterly Variability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homebuilding operating cycle historically has reflected escalating new order activity in the second and third fiscal quarters and increased closings in the third and fourth fiscal quarters. However, these seasonal patterns may be impacted by a variety of factors, including periods of market volatility and changes in mortgage interest rates, which may result in increased or decreased new orders and/or revenues and closings that are outside of the normal ranges typically realized on account of seasonality.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Environmental Matters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a variety of local, state and federal statutes, ordinances, rules and regulations concerning zoning, building, design, constructions, the availability of water, and matters concerning the protection of health, safety and the environment. These laws may result in delays, cause us to incur substantial compliance and other costs, and prohibit or severely restrict development in certain environmentally sensitive regions or areas. Any delay or refusal from government agencies to grant us necessary licenses, permits and approvals could have an adverse effect on our financial condition and results of operations.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due diligence process for land acquisitions, we often use third-party environmental consultants to investigate potential environmental risks, and we require disclosures, representations and warranties from land sellers regarding environmental risks. We also take steps prior to our acquisition of the land to gain reasonable assurance as to the precise scope of any remediation work required and the costs associated with removal, site restoration and/or monitoring. To the extent contamination or other environmental issues have occurred in the past, we will attempt to recover restoration costs from third parties, such as the generators of hazardous waste, land sellers or others in the prior chain of title and/or their insurers.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provide homes to homebuyers qualifying for Federal Housing Administration (FHA)-insured or Veterans Affairs (VA)-guaranteed mortgages, we must construct homes in compliance with FHA and VA regulations. These laws and regulations include provisions regarding operating procedures, investments, lending, and privacy disclosures and premiums.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some states, we are required to be registered as a licensed contractor and comply with applicable rules and regulations. Also, in various states, our new home counselors are required to be licensed real estate agents and to comply with the laws and regulations applicable to real estate agents.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comply with any of these laws or regulations, where applicable, could result in loss of licensing and a restriction of our business activities in the applicable jurisdiction.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we employed 1,018 persons, of whom 261 were sales and marketing personnel and 207 were construction personnel. Although none of our employees are covered by collective bargaining agreements, at times certain of the independent subcontractors engaged by us may be represented by labor unions or may be subject to collective bargaining arrangements.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t>A safe and healthy working environment for our employees at every level of our organization is our highest priority. This begins with our health and safety audit system, which is designed to assist our employees in locating resources tailored for their specific employment responsibilities. We also conduct various safety-related inspections and training programs, such as daily visual inspections of our job sites, weekly written safety inspections and bi-weekly “toolbox” talks with our trade partners. We have also increased our focus on employee wellness by expanding our program options to include a number of webinars, online classes, and virtual support groups.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employees are critical to our continued growth and success, and competition for qualified personnel is intense across our footprint. To remain competitive, we continue to focus on attracting and retaining qualified employees and providing them with comprehensive training and continuous development. In addition, we center our employee experience on engagement and work-life balance by offering a broad range of company-paid benefits and compensation packages, such as a 12-week parental leave and an unlimited flexible time off program.</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deeply committed to fostering a culture where everyone feels welcome, respected, safe, and valued. As we continue to advance in this area, we are reaching across all functional and operational areas through our employee-driven storytelling platform and engagement activities, which empower our teams to share and learn from one another’s lived experiences.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Internet website address is www.beazer.com. Our annual reports on Form 10-K, quarterly reports on Form 10-Q, current reports on Form 8-K and amendments to those reports filed or furnished pursuant to section 13(a) or 15(d) of the Securities Exchange Act are available free of charge through our website as soon as reasonably practicable after we electronically file with or furnish them to the Securities and Exchange Commission (SEC), and are available in print to any stockholder who requests a printed copy. We also use our website as a means of disclosing additional information, including for complying with our disclosure obligations under the SEC's Regulation FD (Fair Disclosure). The SEC maintains a website that contains reports, proxy statements, information statements and other information regarding issuers, including us, that file electronically with the SEC at www.sec.gov.</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many of our corporate governance documents are available on our website at www.beazer.com. Specifically, our Audit, Finance and Development, Human Capital, Technology, and Governance Committee Charters, our Corporate Governance Guidelines and Code of Business Conduct and Ethics are available. Each of these documents is also available in print to any stockholder who requests it.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content on our website is available for information purposes only and is not a part of and shall not be deemed incorporated by reference in this Form 10-K.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following risk factors, as well as other information in this Form 10-K, before deciding whether to invest in shares of our common stock. The occurrence of any of the events described below could harm our business, financial condition, results of operations, and growth prospects. In such an event, the trading price of our common stock may decline, and you may lose all or part of your investment.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Market Risks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number of conditions that affect demand for the homes we sell are outside of our control. Many of these conditions, such as interest rates, inflation, employment levels, wage levels and governmental actions also impact consumer confidence, upon which our business is highly dependent.</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Negative changes in national and regional economic conditions, as well as local economic conditions where we conduct our operations, may result in more caution on the part of homebuyers and, consequently, fewer home purchases. Demand softened during fiscal 2025 as homebuyers continued to face an elevated interest rate environment despite interest rate cuts by the Federal Reserve multiple times during fiscal 2025. This continued economic uncertainty is out of our control, affects buyer sentiment and behavior and the demand for the homes we sell, and negatively impacts consumer confidence, upon which our business is highly dependent.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worsening of these conditions and/or further downturns in the homebuilding industry could also, among other things, result in an oversupply of both new and resale home inventory across housing markets in the U.S., an increase in foreclosures, reduced levels of consumer demand for new homes, increased cancellation rates, aggressive price competition among homebuilders, and increased incentives for home sales, any of which could result in a decrease in our revenues, earnings, or margins and adversely affect our financial condition and results of operations.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any certain government actions such as continuance of the U.S. federal government shutdown or U.S. initiated tariffs on certain foreign goods, particularly raw materials, commodities, and products manufactured outside the United States that are used in our homebuilding processes, may disrupt our home closings process or cause our homebuilding costs to rise, which would have a negative impact on our business and results of operations.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most of our customers require mortgage financing, elevated mortgage interest rates for prolonged periods and further increases in interest rates would likely negatively affect the affordability of the homes we sell. In addition, reductions in mortgage availability or increases in the effective costs of owning a home could prevent our customers from buying our homes and adversely affect our business and financial results.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the purchasers of our homes finance their acquisition with mortgage financing. Despite modest interest rate reductions in September 2025, interest rates have remained at a heightened level for a prolonged period, and may continue to remain at a heightened level. Higher rate periods or future increases in interest rates could directly impact mortgage rates and increase the costs of owning a home, which could adversely affect the purchasing power of consumers. Elevated mortgage rates for prolonged periods could also lower demand for the homes we sell, resulting in a decrease in our revenues and earnings and adversely affect our financial condition.</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availability of mortgage financing is significantly influenced by governmental entities such as the Federal Housing Administration, Veteran’s Administration, and Government National Mortgage Association and government-sponsored enterprises known as Fannie Mae and Freddie Mac. If these or other lenders’ borrowing standards are tightened and/or the federal government were to reduce or eliminate these mortgage loan programs (including due to any failure of lawmakers to agree on a budget or appropriation legislation to fund relevant programs or operations or the continuance of the U.S. federal government shutdown which may result in these or other government agencies furloughing employees and stopping activities critical to the mortgage financing process), it would likely make it more difficult for our customers to obtain acceptable financing, which would, in turn, adversely affect our business, financial condition and results of operations.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Mortgage interest expenses and real estate taxes represent significant costs of homeownership. Therefore, when there are changes in federal or state income tax laws that eliminate or substantially limit the income tax deductions relating to these expenses, the after-tax costs of owning a new home can increase significantly. For example, in July 2025, H.R. 1, or the One Big Beautiful Bill Act ("OBBBA"), was enacted, which includes provisions that impose significant limitations with respect to these income tax deductions. Under this legislation, through the end of 2029, the annual deduction for real estate property taxes and state and local income or sales taxes has been limited to a combined amount of $40,000 ($20,000 in the case of a separate return filed by a married individual). In addition, the deduction for mortgage interest will generally only be available with respect to acquisition indebtedness that does not exceed $750,000 ($375,000 in the case of a separate return filed by a married individual). These changes could reduce the perceived affordability of homeownership, and therefore the demand for homes, or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have a moderating impact on home sales prices in areas with relatively high housing prices or high state and local income and real estate taxes.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may adversely affect us by increasing costs beyond what we can recover through price increases.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inflation has moderated slightly, it has remained persistent in the United States in recent years due, in part, to supply chain issues, elevated energy prices, labor shortages and trade policies, among other factors. Inflation can adversely affect us by increasing costs of land, materials, and labor. In addition, inflation is often accompanied by higher interest rates. In an inflationary environment, depending on homebuilding industry and other economic conditions, we may be unable to raise home prices enough to keep up with the rate of inflation, which would reduce our profit margins.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unsuccessful in competing against other homebuilders, our market share could decline or our growth could be impeded and, as a result, our financial condition and results of operations could suffer.</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Competition in the homebuilding industry is intense, and there are relatively low barriers to entry into our business. Increased competition could hurt our business, as it could prevent us from acquiring attractive parcels of land on which to build homes or make such acquisitions more expensive, hinder our market share expansion and lead to pricing pressures on our homes that may adversely impact our margins and revenues. If we are unable to successfully compete, our financial results could suffer and our ability to service our debt could be adversely affected. Our competitors may independently develop land and construct housing units that are superior or substantially similar to our products. Furthermore, many of our competitors have substantially greater financial resources, less leverage, and lower costs of funds and operations than we do. In addition, the homebuilding industry has been subject to increasing consolidation and mergers and acquisition activity, which could result in existing competitors increasing their market share. Such changes have the potential to increase competitive dynamics in affected markets. Many of these competitors also have longstanding relationships with subcontractors and suppliers in the markets in which we operate. We currently build in several of the top markets in the nation and, therefore, we expect to continue to face additional competition from new entrants into our markets.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Legal and Regulatory Risks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increase in cancellation rates will negatively impact our business and could lead to imprecise estimates related to homes to be delivered in the future (backlog).</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backlog reflects the number and value of homes for which we have entered into a sales contract with a customer but have not yet delivered the home. Although these sales contracts typically require a cash deposit and generally do not make the sale contingent on the sale of the customer’s existing home, in some cases a customer may cancel the contract and receive a complete or partial refund of the deposit as a result of local laws or as a matter of our business practices. If industry or economic conditions deteriorate or if mortgage financing becomes less accessible, more homebuyers may have an incentive to cancel their contracts with us, even where they might be entitled to no refund or only a partial refund, rather than complete the purchase. While cancellation rates during fiscal 2025 have remained in line with our normal historical range, significant cancellations have had, and could again in the future have, a material adverse effect on our business as a result of lost sales revenue and the accumulation of unsold housing inventory. It is important to note that both backlog and cancellation metrics are operational, rather than accounting data, and should be used only as a general gauge to evaluate our performance. There is an inherent imprecision in these metrics based on an evaluation of qualitative factors during the transaction cycle.</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success depends on our ability to acquire finished lots and undeveloped land suitable for residential homebuilding at reasonable prices, in accordance with our land investment criteria.</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homebuilding industry is highly competitive for suitable land and the risk inherent in purchasing and developing land increases as consumer demand for housing increases. The availability of finished and partially finished developed lots and undeveloped land for purchase that meet our investment criteria depends on a number of factors outside our control, including land availability in general, competition with other homebuilders and land buyers, inflation in land prices, zoning, allowable housing density, the ability to obtain building permits, and other regulatory requirements. Should suitable lots or land become less available, the number of homes we may be able to build and sell could be reduced, and the cost of land could increase, perhaps substantially, which could adversely impact our financial condition and results of operations.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competition for suitable land increases, the cost of acquiring both finished and undeveloped lots and the cost of developing owned land could rise, and the availability of suitable land at acceptable prices may decline, which could adversely impact our financial results. The availability of suitable land assets could also affect the success of our land acquisition strategy and ultimately our long-term strategic goals by impacting our ability to increase the number of actively selling communities, grow our revenues and margins and achieve or maintain profitability.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6" w:name="page17"/>
    <w:bookmarkEnd w:id="1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Reduced numbers of home sales extend the time it takes us to recover land purchase and property development costs, negatively impacting profitability and our results of operations.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incur many costs even before we begin to build homes in a community. Depending on the stage of development a land parcel is in when we acquire it, these may include costs of preparing land, finishing and entitling lots, installing roads, sewers, water systems, and other utilities, taxes, and other costs related to ownership of the land on which we plan to build homes. If the rate at which we sell and deliver homes slows, or if we delay the opening of new home communities, we may incur additional pre-construction costs, and it may take longer for us to recover our costs, which could adversely affect our profitability and results of operations.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and other related events could result in delays in land development or home construction, increase our costs or decrease demand in the impacted areas.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climates and geology of many of the states in which we operate present increased risks of natural disasters. To the extent that hurricanes, tornadoes, severe storms, heavy or prolonged precipitation, earthquakes, droughts, floods, wildfires or other natural disasters or similar events occur, our homes under construction or our building lots in such states could be damaged or destroyed, which may result in losses exceeding our insurance coverage. Natural disasters or severe weather can also lead to increased competition for subcontractors and/or unavailability of laborers or service providers, both of which can delay our progress even after the event has concluded. Additionally, and as discussed below, increased competition for skilled labor can lead to cost overruns, as we may have to incentivize the impacted region’s limited trade base to work on our homes. Finally, natural disasters and other related events may also temporarily impact demand, as buyers are not as willing to shop for new homes during or after the event. These risks could adversely affect our business, financial condition, and results of operations.</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Supply shortages and other risks related to the demand for skilled labor and building materials could increase costs, delay deliveries and could adversely affect our financial condition and results of operations.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residential construction industry experiences price fluctuations and shortages in labor and materials from time to time. Shortages in labor can be due to shortages in qualified trades people, changes in immigration laws and trends in labor migration, lack of availability of adequate utility infrastructure and services, or our need to rely on local subcontractors who may not be adequately capitalized or insured. Shortages of materials can be due to certain disruptions, such as natural disasters, civil or political unrest and conflicts, trade disputes, difficulties in production or delivery or health issues like a pandemic. Labor and material shortages can be more severe during periods of strong demand for housing or during periods in which the markets where we operate experience natural disasters such as hurricanes or flooding as discussed more fully above. Pricing for labor and materials can be affected by the factors discussed above, changes in energy prices, and various other national, regional, and local economic and political factors. Additionally, heightened immigration guidelines and enforcement, including federal immigration provisions contained in the OBBBA, could result in labor shortages, particularly with our trade partners. Many of these changes may result in adverse impacts for us or our trade partners that could materially affect our operations. Such actions limit our ability to control costs, which if we are not able to successfully offset such increased costs through higher sales prices, could adversely affect our margins on the homes we build.</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operating expenses or longer construction cycle times due to compliance programs or fines, penalties and remediation costs pertaining to environmental regulations within our markets. Additionally, any violations of such regulations could harm our reputation, thereby negatively impacting our financial condition and results of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a variety of local, state and federal statutes, ordinances, rules and regulations concerning the protection of health and the environment. The particular environmental laws that apply to any given community vary greatly according to the location of the community site, the site’s environmental conditions and the present and former use of the site. Environmental laws may result in delays, may cause us to implement time consuming and expensive compliance programs and may prohibit or severely restrict development in certain environmentally sensitive regions or areas. From time to time, the EPA and similar federal or state agencies review homebuilders’ compliance with environmental laws and may levy fines and penalties for failure to strictly comply with applicable environmental laws or impose additional requirements for future compliance as a result of past failures. Any such actions taken with respect to us may increase our costs or harm our reputation. Further, we expect that stringent requirements may be imposed on homebuilders in the future. In particular, our communities in California and Phoenix are especially susceptible to restrictive government regulations and environmental laws, particularly surrounding water usage.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extensive government regulation, which could cause us to incur significant liabilities or restrict our business activities.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Regulatory requirements could cause us to incur significant liabilities and operating expenses and could restrict our business activities. We are subject to local, state and federal statutes and rules regulating, among other things, certain developmental matters, building and site design, the availability of water and matters concerning the protection of health, safety and the environment. Our operating costs may be increased by governmental regulations, such as building permit allocation ordinances and impact and other fees and taxes, which may be imposed to defray the cost of providing certain governmental services and improvements. Other governmental regulations, such as building moratoriums and “no growth” or “slow growth” initiatives may be adopted in communities that have developed rapidly, which may cause delays in new home communities or otherwise restrict our business activities, resulting in reductions in our revenues. Any delay or refusal from government agencies to grant us necessary licenses, permits and approvals could have an adverse effect on our financial condition and results of operations.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Limitations on, or the elimination of, tax benefits in connection with the federal “Energy Star” or “Zero Energy” programs could be material to our business.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receive tax benefits under Internal Revenue Code Section 45L, which we have earned through our substantial investment in and commitment to energy-efficient building practices (Energy-Efficiency Tax Credits). Historically, the Energy-Efficiency Tax Credits were valued at $2,000 per single family home that met the relevant qualifications. The Inflation Reduction Act of 2022 increased these credits to $2,500 or $5,000 per single family home meeting Energy Star or Zero Energy Ready qualifications, respectively. As we have effectively achieved our goal of building 100% Zero Energy Ready homes in fiscal 2025, we currently receive an Energy-Efficiency Tax Credit of $5,000 for each single family home certified as a Zero Energy Ready home.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pursuant to the OBBBA, the Energy-Efficiency Tax Credits for new energy-efficient homes delivered after June 30, 2026 will be disallowed and, therefore, unless the OBBBA is amended or other legislation is enacted, we will not receive any Energy-Efficiency Tax Credit benefit for any of our homes delivered after that date. As a result, our income tax expense and effective tax rate may increase. For more information, see Part II. Item 7. Management's Discussion and Analysis of Financial Condition and Results of Operations – Income Taxes.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activities and disclosures related to sustainability expose us to risks.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we, along with many other companies, have been subject to focus and scrutiny from regulators, investors, employees and customers and other stakeholders regarding sustainability efforts, including compliance with evolving disclosure requirements. For example, the State of California has enacted legislation that will require large U.S. companies doing business in California to make broad-based climate-related disclosures, and other states have considered similar measures. We are assessing our obligations under these proposed and enacted rules and expect that compliance could require substantial effort in the future. Standards for tracking and reporting on sustainability matters, including climate-related matters, have also not been harmonized. Changes to these standards could require adjustments to our accounting or operational policies, as well as updates to our existing systems to meet these reporting obligations. We will therefore likely need to be prepared to contend with overlapping, yet distinct, climate-related disclosure approaches, frameworks and requirements.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same time, an increasing number of stakeholders, lawmakers and regulators have expressed or pursued contrary views, policy, and investment expectations with respect to sustainability matters, which may expose us to additional legal, financial or reputational risks. If our sustainability practices, commitments or disclosures do not meet, or are perceived not to meet, evolving regulatory, investor and other stakeholder expectations and standards, our reputation, our ability to attract or retain employees, and our attractiveness as an investment or business partner could be negatively affected. While we monitor a broad range of sustainability matters, we cannot be certain that we will manage such matters successfully, or that we will successfully meet the expectations of regulators, investors, employees, customers and other stakeholders.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significant potential liabilities as a result of construction defect, product liability and warranty claims made against us.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homebuilder, we have been, and continue to be, subject to construction defect, product liability and home warranty claims, including moisture intrusion and related claims, arising in the ordinary course of business. These claims are common to the homebuilding industry and can be costly.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certain general liability exposures, including construction defect claims, product liability claims and related claims, assessment of claims and the related liability and reserve estimation process is highly judgmental due to the complex nature of these exposures and unique circumstances of each claim. Furthermore, once claims are asserted for construction defects, it can be difficult to determine the extent to which the assertion of these claims will expand geographically. Although we have obtained insurance for construction defect claims, such policies may not be available or adequate to cover liability for damages, the cost of repairs and/or the expense of litigation. Current and future claims may arise out of events or circumstances not covered by insurance and not subject to effective indemnification agreements with our subcontractors.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At any given time, we may be the subject of civil litigation that could require us to pay substantial damages or could otherwise have a material adverse effect on us.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subject to civil litigation regarding claims made by homebuyers. We cannot predict or determine the timing or final outcome of such lawsuits, or the effect that any adverse determinations the lawsuits may have on us. An unfavorable determination in any of the lawsuits could result in the payment by us of substantial monetary damages that may not be covered by insurance. Further, the legal costs associated with the lawsuits and the amount of time required to be spent by management and the Board of Directors on these matters, even if we are ultimately successful, could have a material adverse effect on our business, financial condition and results of operations. In addition to expenses incurred to defend the Company in these matters, under Delaware law and our bylaws, we may have an obligation to indemnify our current and former officers and directors in relation to these matters. We have obligations to advance legal fees and expenses to directors and certain officers.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insurance carriers may seek to rescind or deny coverage with respect to such lawsuits, or we may not have sufficient coverage under our insurance policies. If the insurance companies are successful in rescinding or denying coverage, or if we do not have sufficient coverage under our policies, our business, financial condition and results of operations could be materially adversely affected.</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operating expenses could increase if we are required to pay higher insurance premiums or litigation costs for various claims, which could negatively impact our financial condition and results of operations. Additionally, our insurance policies may not offset our entire expense due to limitation in coverages, amounts payable under the policies or other related restrictions.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costs of insuring against construction defect, product liability and director and officer claims are substantial. Increasingly in recent years, lawsuits (including class action lawsuits) have been filed against builders, asserting claims of personal injury and property damage. Our insurance may not cover all of the claims, including personal injury claims, or such coverage may become prohibitively expensive. If we are not able to obtain adequate insurance against these claims, we may experience losses that could negatively impact our financial condition and results of operations, as well as our cash flows.</w:t>
      </w:r>
    </w:p>
    <w:p>
      <w:pPr>
        <w:spacing w:after="0" w:line="12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Historically, builders have recovered from subcontractors and their insurance carriers a significant portion of the construction defect liabilities and costs of defense that the builders have incurred. However, insurance coverage available to subcontractors for construction defects is becoming increasingly expensive and the scope of coverage is restricted. If we cannot effectively recover from our subcontractors or their carriers, we may suffer even greater losses.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builder’s ability to recover against any available insurance policy depends upon the continued solvency and financial strength of the insurance carrier that issued the policy. Many of the states in which we build homes have lengthy statutes of limitations and/or repose applicable to claims for construction defects. To the extent that any carrier providing insurance coverage to us, or our subcontractors becomes insolvent or experiences financial difficulty in the future, we may be unable to recover on those policies, thereby negatively impacting our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services of certain key employees and the loss of their services could hurt our business.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success depends upon our ability to attract, train and retain skilled personnel, including officers and directors. If we are unable to retain our key employees or attract, train or retain other skilled personnel in the future, it could hinder our business strategy and impose additional costs of identifying and training new individuals. Competition for qualified personnel in all of our operating markets, as well as within our corporate operations, is intense.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failures, cybersecurity breaches or data security breaches could harm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information technology and other computer resources to perform important operational and marketing activities and to maintain our business records. Certain of these resources are provided to us and/or maintained by third-party service providers pursuant to agreements that specify certain security and service level standards. Presently, we employ a limited array of traditional and generative artificial intelligence (AI) solutions for certain functions for our operations. We are consistently considering new ways we might further integrate AI solutions into our information systems, potentially assuming a more critical role in our operations over time. AI programs can incur significant costs and demand substantial expertise for development, pose challenges in setup and management, and necessitate periodic updates. In addition, the AI-related legal and regulatory landscape is constantly evolving and therefore remains uncertain and may be inconsistent from jurisdiction to jurisdiction. Our obligations to comply with the evolving legal and regulatory landscape could entail significant costs or limit our ability to incorporate certain AI capabilities into our operations. Our competitors or other entities may also integrate AI into their information systems and business operations more swiftly or effectively than us, potentially impairing our competitive edge and negatively impacting our financial performance.</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computer systems, including our back-up systems and portable electronic devices, and those of our third-party providers, are subject to damage or interruption from power outages, computer and telecommunication failures, computer viruses, security breaches including malware and phishing, cyberattacks, natural disasters, usage errors or misconduct by our employees or contractors, and other related risks. As part of our normal business activities, we collect and store certain confidential information, including information about employees, homebuyers, customers, vendors and suppliers. This information is entitled to protection under a number of regulatory regimes. We share some of this information with third parties who assist us with certain aspects of our business. A significant and extended disruption of, or breach of, security related to our computer systems and back-up systems may result in business disruption, damage our reputation and cause us to lose customers, sales and revenue, result in the unintended misappropriation of proprietary, personal and confidential information, and require us to incur significant expense to remediate or otherwise resolve these issues including financial obligations to third parties, fines, penalties, regulatory proceedings and private litigation with potentially large costs and other competitive disadvantages. Additionally, the techniques and sophistication used to conduct cyber-attacks and breaches of information systems frequently change. For example, the deployment of evolving AI tools used to identify vulnerabilities and create more deceptive phishing attempts have the potential to not be recognized until such attacks are launched or have been in place for a period of time. A significant cybersecurity breach or attack could have a material impact on our business or results of operations, there can be no assurance that our efforts to maintain the security and integrity of these types of IT networks and related systems will be effective or that attempted security breaches or disruptions would not be successful or damaging.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and political instability and conflicts could adversely affect our business, financial condition or results of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could be adversely affected by unstable economic and political conditions within the United States, and geopolitical conflicts around the world. While we do not have any international operations or direct supplier relationships, current military conflicts and related sanctions, as well as export controls or actions that may be initiated by nations (e.g., potential cyberattacks, disruption of energy flows, etc.) and other potential uncertainties could adversely affect our supply chain by causing shortages or increases in costs for materials necessary to construct homes and/or increases to the price of gasoline and other fuels. In addition, changes in U.S. trade policy and retaliatory actions from other nations could cause higher interest rates, inflation or general economic uncertainty, which could negatively impact consumer confidence, our business partners, employees or customers, or otherwise adversely impact our business.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Terrorist attacks or acts of war against the United States or increased domestic or international instability could have an adverse effect on our operations.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Adverse developments such as terrorist attacks against the United States or any outbreak or escalation of hostilities between the United States and/or any foreign power may cause disruption to the economy, our Company, our employees and our customers, which could negatively impact our financial condition and results of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Financial and Liquidity Risks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access to capital and our ability to obtain additional financing could be affected by any downgrade of our credit ratings, as well as limitations in the capital markets or adverse credit market conditions.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credit rating and ratings on our senior notes and our current credit condition affect, among other things, our ability to access new capital, especially debt. Negative changes in these ratings may result in more stringent covenants and higher interest rates under the terms of our indentures or of any new debt. If our credit ratings are lowered or rating agencies issue adverse commentaries in the future, it could have a material adverse effect on our business, financial condition, results of operations and liquidity. In particular, a weakening of our financial condition, including a significant increase in our leverage or decrease in our profitability or cash flows, could adversely affect our ability to obtain necessary funds, result in a credit rating downgrade or change in outlook, or otherwise increase our cost of borrowing.</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Senior Notes, Senior Unsecured Revolving Credit Facility, letter of credit facilities and certain other debt impose significant restrictions and obligations on us. Restrictions on our ability to borrow could adversely affect our liquidity. In addition, our indebtedness could adversely affect our financial condition, limit our growth and make it more difficult for us to satisfy our debt obligations.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Senior Notes, Senior Unsecured Revolving Credit Facility, letter of credit facilities and certain other debt impose certain restrictions and obligations on us. Under certain of these instruments, we must comply with defined covenants that limit our ability to, among other things, incur additional indebtedness, engage in certain asset sales, make certain types of restricted payments, engage in transactions with affiliates and create liens on our assets. Failure to comply with certain of these covenants could result in an event of default under the applicable instrument. Any such event of default could negatively impact other covenants or lead to cross defaults under certain of our other debt agreements. There can be no assurance that we will be able to obtain any waivers or amendments that may become necessary in the event of a future default situation without significant additional cost or at all.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indebtedness could have important consequences to us and the holders of our securities, including, among other things:</w:t>
      </w:r>
    </w:p>
    <w:p>
      <w:pPr>
        <w:spacing w:after="0" w:line="17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be unable to satisfy our obligations under our debt agreements;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pay higher interest rates upon refinancing indebtedness if interest rates rise;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adverse general economic and industry conditions;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to fund future working capital, land purchases, acquisitions, capital expenditures, share repurchases, general corporate or other activities;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be limited in our flexibility in planning for, or reacting to, changes in our business.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subject to the restrictions of our existing debt instruments, we may incur additional indebtedness. If new debt is added to our current debt levels, the related risks that we now face could intensify. Our growth plans and our ability to make payments of principal or interest on, or to refinance, our indebtedness will depend on our future operating performance and our ability to enter into additional debt and/or equity financings. If we are unable to generate sufficient cash flows in the future to service our debt, we may be required to refinance all or a portion of our existing debt, to sell assets or to obtain additional financing. We may not be able to do any of the foregoing on terms acceptable to us, if at all.</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tax credits has been, and may in the future be, impacted by an “ownership change” pursuant to Section 382 and Section 383 of the Internal Revenue Code.</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possess meaningful assets in the form net operating loss carryforwards (NOLs) and Energy-Efficiency Tax Credits. Section 382 and Section 383 of the Internal Revenue Code contain rules that limit the ability of a company that undergoes an “ownership change,” which is generally defined as any change in ownership of more than 50% of its common stock over a three-year period, to utilize its NOLs, tax credits (including, among others, Energy-Efficiency Tax Credits) and certain built-in losses or deductions, as of the ownership change date, that are recognized during the five-year period after the ownership change. These rules generally operate by focusing on changes in the ownership among shareholders owning, directly or indirectly, 5% or more of the Company’s common stock (including changes involving a shareholder becoming a 5% shareholder) or any change in ownership arising from a new issuance of stock or share repurchases by the Company.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NOLs, generated prior to fiscal 2019, and tax credits (including the Energy-Efficiency Tax Credits) generally may be carried forward for a 20-year period to offset future earnings and reduce our federal income tax liability. Any NOLs created during or after fiscal 2019 may be carried forward indefinitely, but may only be utilized to offset 80% of taxable income generated in 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18"/>
          <w:szCs w:val="18"/>
          <w:color w:val="auto"/>
        </w:rPr>
        <w:t>tax year. Built-in losses, if and when recognized, generally will result in tax losses that may then be deducted or carried forward. However, due to the “ownership change” we experienced in January 2010, for purposes of Section 382 and Section 383, our ability to use certain NOLs, tax credits and built-in losses or deductions in existence prior to the ownership change was limited by Section 382 and/or Section 383. We cannot predict or control the occurrence or timing of another ownership change in the future. If another ownership change were to occur, the limitations imposed by Section 382 and Section 383 could result in a material amount of our NOLs and Energy-Efficiency Tax Credits expiring unused and, therefore, significantly impair the future value of our deferred tax assets.</w:t>
      </w:r>
    </w:p>
    <w:p>
      <w:pPr>
        <w:spacing w:after="0" w:line="13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Because of this potential impairment of the future value of our deferred tax assets, the majority of which are Energy-Efficiency Tax Credits that we earned through substantial investment in energy-efficient building practices, the Company and its Board of Directors believe these assets are worth protecting. Specifically, the Company and its Board of Directors believe the deferred tax assets, inclusive of the Energy-Efficiency Tax Credits, provide substantial value to the Company and its shareholders and reflect our investment and commitment to our energy-efficient homebuilding strategy. Therefore, on November 12, 2025, the Company, with the unanimous approval of its Board of Directors, entered into that certain Rights Agreement for the Protection of NOLs and Energy-Efficiency Tax Credits (the "New Rights Agreement"). The New Rights Agreement is intended to act as a deterrent to any person desiring to acquire 4.95% or more of our common stock. Additionally, our certificate of incorporation has historically prohibited certain transfers of our common stock that could result in an ownership change under Section 382 and Section 383 of the Internal Revenue Code. At the Company’s 2026 Annual Meeting of Stockholders, the Company intends to seek stockholder ratification of the New Rights Agreement, as well as approval of similar protective provisions in our certificate of incorporation. Failure to obtain these stockholder approvals may jeopardize the Company’s ability to fully utilize its Energy-Efficiency Tax Credits and other deferred tax assets in future periods. Neither the New Rights Agreement, nor any protective provisions included in our certificate of incorporation, offer a complete solution, and an ownership change may still occur. Additionally, any protective provisions approved by our stockholders may not be enforceable against all stockholders and may not prevent all stock transfers that have the potential to cause a Section 382 or Section 383 ownership shift, and the New Rights Agreement may deter, but ultimately may not block, all transfers of our common stock that might result in an ownership change.</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realization of all or a portion of our deferred income tax assets (including NOLs and Energy-Efficiency Tax Credits) is dependent upon the generation of future income during the statutory carryforward periods. Our inability to utilize our limited pre-ownership change NOLs, other tax credits and recognized built-in losses or deductions, or the occurrence of a future ownership change and resulting additional limitations to these tax attributes, could have a material adverse effect on our financial condition, results of operations, and cash flows.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experience a reduction in home sales and revenues due to our inability to acquire and develop land for our communities if we are unable to obtain reasonably priced financing.</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homebuilding industry is capital intensive, and homebuilding requires significant up-front expenditures to acquire land and to begin development. Accordingly, we incur substantial indebtedness to finance our homebuilding activities. If internally generated funds are not sufficient, we would seek additional capital in the form of equity or debt financing from a variety of potential sources, including additional bank financing and/or securities offerings. The amount and types of indebtedness that we may incur are limited by the terms of our existing debt. In addition, the availability of borrowed funds, especially for land acquisition and construction financing, may be greatly reduced nationally, and the lending community may require increased amounts of equity to be invested in a project by borrowers in connection with both new loans and the extension of existing loans. The credit and capital markets have continued to experience significant volatility. If we are required to seek additional financing to fund our operations, the volatility in these markets may restrict our flexibility to access such financing. If we are not successful in obtaining sufficient capital to fund our planned capital and other expenditures, we may be unable to acquire land for our housing developments, thereby limiting our anticipated growth and community count. Additionally, if we cannot obtain additional financing to fund the purchase of land under our option agreements, we may incur contractual penalties and fees.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Inefficient or ineffective allocation of capital could adversely affect our operating results and/or stockholder value.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goal is to allocate capital to maximize our overall long-term returns. This includes growing profitability, improving balance sheet efficiency and generating returns above our cost of capital. If we do not properly allocate our capital, we may fail to produce optimal financial results and we may experience a reduction in stockholder value, including increased volatility in our stock price.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capital allocation strategy, from time to time we have, and may continue to, return value to our stockholders through share repurchases and to engage in bond repurchases to reduce our indebtedness. For example, in February 2025, we announced an acceleration of the pace of our share repurchases in light of market conditions, resulting in the repurchase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18"/>
          <w:szCs w:val="18"/>
          <w:color w:val="auto"/>
        </w:rPr>
        <w:t>approximately 5% of our outstanding shares during fiscal 2025, for an aggregate purchase price of $33.1 million. As of September 30, 2025, we had the authority to purchase additional shares up to our remaining authorization limit of $87.5 million. Decisions with respect to share repurchases are subject to the discretion of our Board of Directors and are based on a variety of factors, including the price and availability of our shares, trading volume, our earnings and financial condition, general market conditions and other capital allocation opportunities. The share repurchase program may be suspended or discontinued at any time in the future without prior notice. Repurchases under our share repurchase program will reduce the market liquidity for our stock, potentially affecting its trading volatility and price. Future share repurchases or potential debt repurchases may also diminish our cash reserves, which may also impact our ability to pursue other opportunities.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Relating to an Investment in our Common Stock</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experience fluctuations and variability in our operating results on a quarterly basis and, as a result, our historical performance may not be a meaningful indicator of future results.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historically have experienced, and expect to continue to experience, variability in home sales and earnings on a quarterly basis. As a result of such variability, our historical performance may not be a meaningful indicator of future results. Our quarterly results of operations may continue to fluctuate in the future as a result of a variety of both national and local factors, including, among others:</w:t>
      </w:r>
    </w:p>
    <w:p>
      <w:pPr>
        <w:spacing w:after="0" w:line="12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home closings and land sales;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acquire additional land or secure option agreements to acquire land on acceptable terms;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of the real estate market in areas where we operate and of the general economy;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impairments or other material write-downs;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and labor shortages;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home buying patterns;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operating expenses, including the cost of labor and raw materials, personnel and general economic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 cybersecurity program designed to detect, identify, classify and mitigate cybersecurity and other data security threats as part of our efforts to protect and maintain the confidentiality and security of homebuyer, customer, employee, vendor and supplier information, and non-public information about the Company, which has been strategically integrated into our enterprise risk management program to promote a company-wide culture of cyber risk awareness and inform our decision-making process. The foundation of our cybersecurity program is based on the National Institute of Standards and Technology (NIST) Cybersecurity Framework, which includes a set of controls to prevent, detect, and respond to cybersecurity and other data security threats and incidents.</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in furtherance of detecting, identifying, and managing material cybersecurity and other data security threats, including such threats associated with our use of any third-party service providers, we also:</w:t>
      </w:r>
    </w:p>
    <w:p>
      <w:pPr>
        <w:spacing w:after="0" w:line="5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robust information security and privacy policies that are reviewed and updated on an annual basis;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a range of third-party service providers, including cybersecurity consultants, to evaluate, monitor, and test our cyber management systems and related risks;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audits, penetration tests, threat and vulnerability assessments, cybersecurity risk monitoring, and security enhancement consultations, using both internal and external resources;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continue to evolve our Cybersecurity Incident Management program, which includes regular incident response tabletop exercises, cybersecurity-related disaster recovery and business resiliency plans, and related communications and business continuity procedures;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security assessments of third-party software products and hosting providers prior to engagement;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3" w:name="page24"/>
    <w:bookmarkEnd w:id="23"/>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ongoing monitoring procedures for third-party service providers’ hosted applications to ensure continued alignment with our cybersecurity standards and compliance requirements;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mandatory annual security and privacy awareness training, along with monthly phishing simulations, to all of our employees. These trainings and simulations are designed to ensure employees are well-versed in the behaviors and requirements necessary to safeguard the Company's information resources;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cyber liability insurance to protect against the financial impact of a cyber incident.</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dedicated team of employees managing our cybersecurity program and initiatives, led by the Company’s Chief Information Security Officer (CISO), who reports to our Chief Information Officer (CIO). Both our CISO and CIO possess over 20 years of experience in senior leadership roles leading information security and technology teams across private and public companies. The team works directly in consultation with internal and external advisors to execute our cybersecurity and risk strategies.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our cybersecurity program, potential cybersecurity threats are classified by risk levels and threat mitigation efforts are typically prioritized based on those risk classifications, while focus also remains on maintaining the resiliency of our information systems. In the event we identify a potential cybersecurity issue, we have defined procedures for responding to such issues, including procedures that address when and how to engage with Company management, the Board of Directors, other stakeholders and law enforcement.</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ultimate oversight responsibility for risks relating to our cybersecurity program. In addition, the Audit Committee assists the Board of Directors in monitoring our cybersecurity and data security risk exposures and compliance with the Company’s cybersecurity program, and regularly makes inquiries of the Company’s management team, internal auditors and independent auditors regarding these risk exposures and compliance matters. We have also established a Technology Committee, which is a committee currently comprised of four members of the Board of Directors. The Technology Committee is responsible for advising and assisting the Board of Directors in overseeing the Company’s technology strategy and investment matters, and regularly meets with the Company’s management team with respect to these initiatives.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Conducting our businesses involves the collection, storage, use, disclosure, processing, transfer, and other handling of a wide variety of information, including personally identifiable information, for various purposes. Like other companies that process a wide variety of information, our information technology systems, networks and infrastructure and technology have been, and may in the future be, vulnerable to cybersecurity attacks and other data security threats. These types of attacks are constantly evolving, may be difficult to detect quickly, and often are not recognized until after they have been launched against a target. While, to date, we do not believe we have had a significant cybersecurity breach or attack that has had or is likely to have a material impact on our business strategy, results of operations, or financial condition, there can be no assurance that our efforts to maintain the security and integrity of these types of IT networks and related systems will be effective or that attempted security breaches or disruptions would not be successful or damaging. For more information about these and other cybersecurity risks faced by us, see Part 1. Item 1A. “Risk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we had under lease approximately 26,000 square feet of office space in Atlanta, Georgia to house our corporate headquarters. We also lease and own an aggregate of approximately 171,500 and 4,500 square feet of office space, respectively, for our divisional operations at various locations. All facilities are in good condition, adequately utilized, and sufficient to meet our present operating needs.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nature of our business, significant amounts of property are held by us as inventory in the ordinary course of our homebuilding operations. See Note 4 of notes to the consolidated financial statements in this Form 10-K for a further discussion of our inventory.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and certain of our subsidiaries are subject to various lawsuits. We cannot predict or determine the timing or final outcome of these lawsuits or the effect that any adverse findings or determinations in pending lawsuits may have on us. In addition, an estimate of possible loss or range of loss, if any, cannot presently be made with respect to certain of these pending matters. An unfavorable determination in pending lawsuits could result in the payment by us of substantial monetary damages that may not be fully covered by insurance. Further, the legal costs associated with the lawsuits and the amount of time required to be spent by management and our Board of Directors on these matters, even if we are ultimately successful, could have a material adverse effect on our financial condition, results of operations, or cash flows.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color w:val="auto"/>
        </w:rPr>
        <w:t>For a discussion of our legal proceedings, see Note 8 of the notes to our consolidated financial statements in this Form 10-K.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5" w:right="1440"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8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lists its common stock on the New York Stock Exchange (NYSE) under the symbol “BZH.” On November 10, 2025, the last reported sales price of the Company's common stock on the NYSE was $21.79, and we had approximately 184 stockholders of record and 29,759,950 shares of common stock outstanding.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indentures under which our senior notes were issued contain certain restrictive covenants, including limitations on the payment of dividends. There were no dividends paid during our fiscal 2025, 2024 or 2023. The Board of Directors will periodically reconsider the declaration of dividends, assuming payment of dividends is not limited under our indentures. The reinstatement of quarterly dividends, the amount of such dividends and the form in which the dividends are paid (cash or stock) will depend upon our financial condition, results of operations, and other factors that the Board of Directors deems relevant.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shares of common stock that may be issued under our existing equity compensation plans as of September 30, 2025, all of which have been approved by our stockholders: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 Common Shares to be</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Common Shares</w:t>
            </w:r>
          </w:p>
        </w:tc>
        <w:tc>
          <w:tcPr>
            <w:tcW w:w="0" w:type="dxa"/>
            <w:vAlign w:val="bottom"/>
          </w:tcPr>
          <w:p>
            <w:pPr>
              <w:spacing w:after="0"/>
              <w:rPr>
                <w:sz w:val="1"/>
                <w:szCs w:val="1"/>
                <w:color w:val="auto"/>
              </w:rPr>
            </w:pPr>
          </w:p>
        </w:tc>
      </w:tr>
      <w:tr>
        <w:trPr>
          <w:trHeight w:val="146"/>
        </w:trPr>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7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 for Future</w:t>
            </w:r>
          </w:p>
        </w:tc>
        <w:tc>
          <w:tcPr>
            <w:tcW w:w="0" w:type="dxa"/>
            <w:vAlign w:val="bottom"/>
          </w:tcPr>
          <w:p>
            <w:pPr>
              <w:spacing w:after="0"/>
              <w:rPr>
                <w:sz w:val="1"/>
                <w:szCs w:val="1"/>
                <w:color w:val="auto"/>
              </w:rPr>
            </w:pPr>
          </w:p>
        </w:tc>
      </w:tr>
      <w:tr>
        <w:trPr>
          <w:trHeight w:val="137"/>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30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Outstanding Options, Warrants</w:t>
            </w:r>
          </w:p>
        </w:tc>
        <w:tc>
          <w:tcPr>
            <w:tcW w:w="17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90"/>
        </w:trPr>
        <w:tc>
          <w:tcPr>
            <w:tcW w:w="4880" w:type="dxa"/>
            <w:vAlign w:val="bottom"/>
            <w:gridSpan w:val="2"/>
            <w:vMerge w:val="continue"/>
          </w:tcPr>
          <w:p>
            <w:pPr>
              <w:spacing w:after="0"/>
              <w:rPr>
                <w:sz w:val="16"/>
                <w:szCs w:val="16"/>
                <w:color w:val="auto"/>
              </w:rPr>
            </w:pPr>
          </w:p>
        </w:tc>
        <w:tc>
          <w:tcPr>
            <w:tcW w:w="2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23"/>
        </w:trPr>
        <w:tc>
          <w:tcPr>
            <w:tcW w:w="4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1,642</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$23.14</w:t>
            </w:r>
          </w:p>
        </w:tc>
        <w:tc>
          <w:tcPr>
            <w:tcW w:w="220" w:type="dxa"/>
            <w:vAlign w:val="bottom"/>
            <w:shd w:val="clear" w:color="auto" w:fill="CCEEFF"/>
          </w:tcPr>
          <w:p>
            <w:pPr>
              <w:spacing w:after="0"/>
              <w:rPr>
                <w:sz w:val="19"/>
                <w:szCs w:val="19"/>
                <w:color w:val="auto"/>
              </w:rPr>
            </w:pP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2,652,283</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repurchase any shares of our common stock in the fourth quarter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following graph illustrates the cumulative total stockholder return on Beazer Homes' common stock for the last five fiscal years through September 30, 2025 as compared to the S&amp;P 500 Index and the S&amp;P 500 Homebuilding Index. The graph assumes an investment of $100 at September 30, 2020 in Beazer Homes' common stock and in each of the benchmark indices specified, assumes that all dividends were reinvested, and accounts for the impact of any stock splits, where applicable. Stockholder returns over the indicated period are based on historical data and should not be considered indicative of future stockholder returns.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Comparison of Five Year Cumulative Total Return Assuming $100 Investment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122555</wp:posOffset>
            </wp:positionV>
            <wp:extent cx="5863590" cy="2588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6359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0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3140" w:type="dxa"/>
            <w:vAlign w:val="bottom"/>
            <w:tcBorders>
              <w:top w:val="single" w:sz="8" w:color="auto"/>
              <w:bottom w:val="single" w:sz="8" w:color="auto"/>
              <w:right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060" w:type="dxa"/>
            <w:vAlign w:val="bottom"/>
            <w:tcBorders>
              <w:top w:val="single" w:sz="8" w:color="auto"/>
              <w:bottom w:val="single" w:sz="8" w:color="auto"/>
            </w:tcBorders>
            <w:gridSpan w:val="3"/>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right w:val="single" w:sz="8" w:color="auto"/>
            </w:tcBorders>
          </w:tcPr>
          <w:p>
            <w:pPr>
              <w:spacing w:after="0"/>
              <w:rPr>
                <w:sz w:val="18"/>
                <w:szCs w:val="18"/>
                <w:color w:val="auto"/>
              </w:rPr>
            </w:pPr>
          </w:p>
        </w:tc>
      </w:tr>
      <w:tr>
        <w:trPr>
          <w:trHeight w:val="196"/>
        </w:trPr>
        <w:tc>
          <w:tcPr>
            <w:tcW w:w="400" w:type="dxa"/>
            <w:vAlign w:val="bottom"/>
            <w:tcBorders>
              <w:left w:val="single" w:sz="8" w:color="auto"/>
              <w:bottom w:val="single" w:sz="8" w:color="auto"/>
              <w:right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14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400" w:type="dxa"/>
            <w:vAlign w:val="bottom"/>
            <w:tcBorders>
              <w:left w:val="single" w:sz="8" w:color="auto"/>
              <w:bottom w:val="single" w:sz="8" w:color="auto"/>
              <w:right w:val="single" w:sz="8" w:color="auto"/>
            </w:tcBorders>
          </w:tcPr>
          <w:p>
            <w:pPr>
              <w:jc w:val="center"/>
              <w:spacing w:after="0"/>
              <w:rPr>
                <w:sz w:val="20"/>
                <w:szCs w:val="20"/>
                <w:color w:val="auto"/>
              </w:rPr>
            </w:pPr>
            <w:r>
              <w:rPr>
                <w:rFonts w:ascii="Wingdings" w:cs="Wingdings" w:eastAsia="Wingdings" w:hAnsi="Wingdings"/>
                <w:sz w:val="11"/>
                <w:szCs w:val="11"/>
                <w:b w:val="1"/>
                <w:bCs w:val="1"/>
                <w:color w:val="9933CC"/>
              </w:rPr>
              <w:t>u</w:t>
            </w:r>
          </w:p>
        </w:tc>
        <w:tc>
          <w:tcPr>
            <w:tcW w:w="38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Beazer Homes USA, Inc.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130.68</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188.69</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258.80</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185.91</w:t>
            </w:r>
          </w:p>
        </w:tc>
      </w:tr>
      <w:tr>
        <w:trPr>
          <w:trHeight w:val="223"/>
        </w:trPr>
        <w:tc>
          <w:tcPr>
            <w:tcW w:w="400" w:type="dxa"/>
            <w:vAlign w:val="bottom"/>
            <w:tcBorders>
              <w:left w:val="single" w:sz="8" w:color="auto"/>
              <w:bottom w:val="single" w:sz="8" w:color="auto"/>
              <w:right w:val="single" w:sz="8" w:color="auto"/>
            </w:tcBorders>
          </w:tcPr>
          <w:p>
            <w:pPr>
              <w:jc w:val="center"/>
              <w:spacing w:after="0"/>
              <w:rPr>
                <w:sz w:val="20"/>
                <w:szCs w:val="20"/>
                <w:color w:val="auto"/>
              </w:rPr>
            </w:pPr>
            <w:r>
              <w:rPr>
                <w:rFonts w:ascii="Webdings" w:cs="Webdings" w:eastAsia="Webdings" w:hAnsi="Webdings"/>
                <w:sz w:val="11"/>
                <w:szCs w:val="11"/>
                <w:b w:val="1"/>
                <w:bCs w:val="1"/>
                <w:color w:val="990000"/>
              </w:rPr>
              <w:t>g</w:t>
            </w: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S&amp;P 500</w:t>
            </w:r>
          </w:p>
        </w:tc>
        <w:tc>
          <w:tcPr>
            <w:tcW w:w="3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130.00</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133.65</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182.23</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214.30</w:t>
            </w:r>
          </w:p>
        </w:tc>
      </w:tr>
      <w:tr>
        <w:trPr>
          <w:trHeight w:val="223"/>
        </w:trPr>
        <w:tc>
          <w:tcPr>
            <w:tcW w:w="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66CC33"/>
                <w:w w:val="97"/>
              </w:rPr>
              <w:t>p</w:t>
            </w: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S&amp;P 500</w:t>
            </w:r>
          </w:p>
        </w:tc>
        <w:tc>
          <w:tcPr>
            <w:tcW w:w="3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Homebuilding Index</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112.30</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148.31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260.93</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222.31</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is intended to help the reader understand our Company, business, operations and present business environment and is provided as a supplement to, and should be read together with the sections entitled “Risk Factors,” and the financial statements and the accompanying notes included elsewhere in this Form 10-K.</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statements in this discussion and analysis regarding industry outlook, our expectations regarding the performance of our business, anticipated financial results, liquidity and the other non-historical statements are forward-looking statements. These forward-looking statements are subject to numerous risks and uncertainties, including, but not limited to, the risks and uncertainties described in “Forward-Looking Statements” and in “Risk Factors” above. Our actual results may differ materially from those contained in or implied by any forward-looking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 and Outlook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Conditions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Fiscal 2025 presented a challenging operating environment, driven by persistent affordability concerns, elevated mortgage rates, weak consumer sentiment, and continued uncertainties in the macroeconomic environment. In response, we offered discounts and incentives to stimulate sales and turn inventory. We also maintained a disciplined approach to our operations and capital allocation. This included slowing land spend to match current market conditions, renegotiating more favorable land acquisition terms, and pursuing capital-efficient growth opportunities through expanded usage of lot option agreements. During fiscal 2025, we allocated more capital to share repurchases, as our shares traded at a discount to book value, which we believe represented a compelling investment opportunity. Despite the soft selling environment, we continue to see longer-term housing market conditions as favorable with production shortfalls over the past decade contributing to a fundamental long-term undersupply of housing.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Multi-Year Goals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2025, we made steady progress toward our Multi-Year Goals and remain on track to achieve each of these objectives.</w:t>
      </w:r>
    </w:p>
    <w:p>
      <w:pPr>
        <w:spacing w:after="0" w:line="15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Growth: </w:t>
      </w:r>
      <w:r>
        <w:rPr>
          <w:rFonts w:ascii="Times New Roman" w:cs="Times New Roman" w:eastAsia="Times New Roman" w:hAnsi="Times New Roman"/>
          <w:sz w:val="18"/>
          <w:szCs w:val="18"/>
          <w:color w:val="auto"/>
        </w:rPr>
        <w:t>reaching more than 200 active communities by the end of fiscal 2027,</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Deleveraging: </w:t>
      </w:r>
      <w:r>
        <w:rPr>
          <w:rFonts w:ascii="Times New Roman" w:cs="Times New Roman" w:eastAsia="Times New Roman" w:hAnsi="Times New Roman"/>
          <w:sz w:val="18"/>
          <w:szCs w:val="18"/>
          <w:color w:val="auto"/>
        </w:rPr>
        <w:t>reducing our net debt to net capitalization ratio to the low 30% range by the end of fiscal 2027, and</w:t>
      </w:r>
    </w:p>
    <w:p>
      <w:pPr>
        <w:spacing w:after="0" w:line="171"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Book value per share: </w:t>
      </w:r>
      <w:r>
        <w:rPr>
          <w:rFonts w:ascii="Times New Roman" w:cs="Times New Roman" w:eastAsia="Times New Roman" w:hAnsi="Times New Roman"/>
          <w:sz w:val="18"/>
          <w:szCs w:val="18"/>
          <w:color w:val="auto"/>
        </w:rPr>
        <w:t>achieving a double-digit compound annual growth rate in book value per share from the end of fiscal 2024 through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2027.</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our ending active community count was 169, up 4.3% from 162 in the prior year. This marks the third consecutive year of growth in community count as we work towards our goal of reaching more than 200 active communities by the end of fiscal 2027.</w:t>
      </w:r>
    </w:p>
    <w:p>
      <w:pPr>
        <w:spacing w:after="0" w:line="9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Our total debt to total capitalization ratio and net debt to net capitalization ratio were 45.2% and 39.5%, respectively, as of September 30, 2025, down 20 basis points and 50 basis points, respectively, compared to the prior year, despite the difficult environment. This reduction reflects our capital allocation and strategic asset alignment decisions to moderate land spend and increase land sales. With a strong balance sheet and ample liquidity, we believe we are well-equipped to navigate the evolving market dynamics and reduce our net debt to net capitalization ratio to the low 30% range by the end of fiscal 2027.</w:t>
      </w:r>
    </w:p>
    <w:p>
      <w:pPr>
        <w:spacing w:after="0" w:line="1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book value per share as of September 30, 2025 was $42.57, up from $40.05 in the prior year, an increase of 6.3%. This growth reflects our continued profitability and active share repurchase program, which has contributed meaningfully to long-term value creation. During fiscal 2025, we repurchased 1.5 million shares of our common stock, approximately 5% of our outstanding shares, for $33.1 million at an average price per share of $22.20.</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look to fiscal 2026, we continue to advance towards the achievement of our Multi-Year Goals, while maintaining a strong liquidity position. We are accelerating our brand-building and marketing efforts to communicate our differentiated value proposition and drive customer engagement. A key component of this proposition is the energy efficiency of our homes, which enables homeowners to generate meaningful utility savings and reduce their total cost of ownership. We believe these operational and strategic initiatives will enhance our differentiated market position and support significant value creation for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Overview of Results for Our Fiscal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performance against certain key operating and financial metrics during fiscal 2025, as compared to fiscal 2024.</w:t>
      </w:r>
    </w:p>
    <w:p>
      <w:pPr>
        <w:spacing w:after="0" w:line="154" w:lineRule="exact"/>
        <w:rPr>
          <w:sz w:val="20"/>
          <w:szCs w:val="20"/>
          <w:color w:val="auto"/>
        </w:rPr>
      </w:pPr>
    </w:p>
    <w:p>
      <w:pPr>
        <w:jc w:val="both"/>
        <w:ind w:left="660" w:hanging="328"/>
        <w:spacing w:after="0" w:line="257" w:lineRule="auto"/>
        <w:tabs>
          <w:tab w:leader="none" w:pos="65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During the fiscal year ended September 30, 2025, our average active community count of 164 was up 14.2% from 144 in the prior year. </w:t>
      </w:r>
      <w:r>
        <w:rPr>
          <w:rFonts w:ascii="Times New Roman" w:cs="Times New Roman" w:eastAsia="Times New Roman" w:hAnsi="Times New Roman"/>
          <w:sz w:val="18"/>
          <w:szCs w:val="18"/>
          <w:color w:val="auto"/>
        </w:rPr>
        <w:t>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September 30, 2025, our ending active community count was 169, up 4.3% from 162 in the prior year. We invested $684.0 million in land acquisition and land development during the year ended September 30, 2025, down 11.9% compared to $776.5 million in land spend during the year ended September 30, 2024. In response to the evolving market conditions, we reallocated a portion of our land investment toward reaching our Multi-Year Goals of deleveraging and growing book value per share. This shift underscores our confidence in our strong land position and the visibility we have into our community count growth.</w:t>
      </w:r>
    </w:p>
    <w:p>
      <w:pPr>
        <w:spacing w:after="0" w:line="128"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5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As of September 30, 2025, our land position included 25,660 controlled lots, down 10.1% from 28,538 as of September 30, 2024. </w:t>
      </w:r>
      <w:r>
        <w:rPr>
          <w:rFonts w:ascii="Times New Roman" w:cs="Times New Roman" w:eastAsia="Times New Roman" w:hAnsi="Times New Roman"/>
          <w:sz w:val="18"/>
          <w:szCs w:val="18"/>
          <w:color w:val="auto"/>
        </w:rPr>
        <w:t>We remain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the expanded usage of lot option agreements, which allow us to position for future growth while providing the flexibility to respond to market conditions. As of September 30, 2025, we had 15,373 lots, or 62.1% of our total active lots, under option agreements as compared to 16,125 lots, or 57.8% of our total active lots, under option agreements as of September 30, 2024.</w:t>
      </w:r>
    </w:p>
    <w:p>
      <w:pPr>
        <w:spacing w:after="0" w:line="122"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5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During the fiscal year ended September 30, 2025, orders per community per month were 2.0 compared to 2.4 in the prior year, and our net new orders were 3,890, down 7.8% from 4,221 in the prior year. </w:t>
      </w:r>
      <w:r>
        <w:rPr>
          <w:rFonts w:ascii="Times New Roman" w:cs="Times New Roman" w:eastAsia="Times New Roman" w:hAnsi="Times New Roman"/>
          <w:sz w:val="18"/>
          <w:szCs w:val="18"/>
          <w:color w:val="auto"/>
        </w:rPr>
        <w:t>The decrease in sales pace compared to the prior year reflected weaker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 sentiment driven by affordability challenges and uncertainties in the macroeconomic environment. We continue to adjust prices, features and incentives to align with the current competitive market conditions.</w:t>
      </w:r>
    </w:p>
    <w:p>
      <w:pPr>
        <w:spacing w:after="0" w:line="122" w:lineRule="exact"/>
        <w:rPr>
          <w:rFonts w:ascii="Times New Roman" w:cs="Times New Roman" w:eastAsia="Times New Roman" w:hAnsi="Times New Roman"/>
          <w:sz w:val="18"/>
          <w:szCs w:val="18"/>
          <w:b w:val="1"/>
          <w:bCs w:val="1"/>
          <w:color w:val="auto"/>
        </w:rPr>
      </w:pPr>
    </w:p>
    <w:p>
      <w:pPr>
        <w:jc w:val="both"/>
        <w:ind w:left="660" w:hanging="328"/>
        <w:spacing w:after="0" w:line="25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Homebuilding gross margin for the fiscal year ended September 30, 2025 was 14.3%, down from 18.0% in the prior year. </w:t>
      </w:r>
      <w:r>
        <w:rPr>
          <w:rFonts w:ascii="Times New Roman" w:cs="Times New Roman" w:eastAsia="Times New Roman" w:hAnsi="Times New Roman"/>
          <w:sz w:val="18"/>
          <w:szCs w:val="18"/>
          <w:color w:val="auto"/>
        </w:rPr>
        <w:t>Homebuilding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was impacted by inventory impairment and abandonment charges of $10.2 million during the year ended September 30, 2025, of which $8.6 million related to impairments recorded for two projects in progress communities, one located in our Phoenix market and the other in our Orlando market, principally due to a reduction in price driven by the competitive and market dynamics. The remaining $1.6 million represents abandonment charges related to land acquisition deals we terminated during the year. Refer to Note 4 of the notes to the consolidated financial statements included in this Form 10-K for further discussion. Homebuilding gross margin, excluding impairments, abandonments and interest amortization, for the fiscal year ended September 30, 2025 was 18.0%, down from 21.1% in the prior year. The year-over-year decrease in homebuilding gross margin for the fiscal year ended September 30, 2025 was primarily driven by an increase in price concessions and incentives, such as mortgage rate buydowns, an increased share of spec home closings which generally have lower margins than "to be built" homes, and changes in product and community mix.</w:t>
      </w:r>
    </w:p>
    <w:p>
      <w:pPr>
        <w:spacing w:after="0" w:line="13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SG&amp;A for the fiscal year ended September 30, 2025 was 11.9% of total revenue compared with 11.4% a year earlier. </w:t>
      </w:r>
      <w:r>
        <w:rPr>
          <w:rFonts w:ascii="Times New Roman" w:cs="Times New Roman" w:eastAsia="Times New Roman" w:hAnsi="Times New Roman"/>
          <w:sz w:val="18"/>
          <w:szCs w:val="18"/>
          <w:color w:val="auto"/>
        </w:rPr>
        <w:t>SG&amp;A expense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$281.7 million for the fiscal year ended September 30, 2025, up 5.8% compared to prior year primarily due to higher sales and marketing costs and other G&amp;A expenses to support community count growth, partially offset by lower commissions.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29" w:name="page30"/>
    <w:bookmarkEnd w:id="29"/>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Seasonal and Quarterly Variability: </w:t>
      </w:r>
      <w:r>
        <w:rPr>
          <w:rFonts w:ascii="Times New Roman" w:cs="Times New Roman" w:eastAsia="Times New Roman" w:hAnsi="Times New Roman"/>
          <w:sz w:val="18"/>
          <w:szCs w:val="18"/>
          <w:color w:val="auto"/>
        </w:rPr>
        <w:t>Our homebuilding operating cycle historically has reflected escalating new order activity in the second and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quarters and increased closings in the third and fourth fiscal quarters. However, these seasonal patterns may be impacted by a variety of factors, including periods of market volatility and changes in mortgage interest rates, which may result in increased or decreased new orders and/or revenues and closings that are outside of the normal ranges typically realized on account of seasonality.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new order and closings data for the periods presented:</w:t>
      </w:r>
    </w:p>
    <w:p>
      <w:pPr>
        <w:spacing w:after="0" w:line="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New Orders (Net of Cancellations)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1st Qtr</w:t>
            </w: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2nd Qtr</w:t>
            </w:r>
          </w:p>
        </w:tc>
        <w:tc>
          <w:tcPr>
            <w:tcW w:w="1560" w:type="dxa"/>
            <w:vAlign w:val="bottom"/>
            <w:tcBorders>
              <w:top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3rd Qtr</w:t>
            </w:r>
          </w:p>
        </w:tc>
        <w:tc>
          <w:tcPr>
            <w:tcW w:w="1580" w:type="dxa"/>
            <w:vAlign w:val="bottom"/>
            <w:tcBorders>
              <w:top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4th Qtr</w:t>
            </w:r>
          </w:p>
        </w:tc>
        <w:tc>
          <w:tcPr>
            <w:tcW w:w="1460" w:type="dxa"/>
            <w:vAlign w:val="bottom"/>
            <w:tcBorders>
              <w:top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400" w:type="dxa"/>
            <w:vAlign w:val="bottom"/>
            <w:tcBorders>
              <w:top w:val="single" w:sz="8" w:color="CCEEFF"/>
            </w:tcBorders>
            <w:shd w:val="clear" w:color="auto" w:fill="CCEEFF"/>
          </w:tcPr>
          <w:p>
            <w:pPr>
              <w:jc w:val="right"/>
              <w:ind w:right="29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932</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1,098</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861</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999</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3,890</w:t>
            </w:r>
          </w:p>
        </w:tc>
      </w:tr>
      <w:tr>
        <w:trPr>
          <w:trHeight w:val="213"/>
        </w:trPr>
        <w:tc>
          <w:tcPr>
            <w:tcW w:w="3400" w:type="dxa"/>
            <w:vAlign w:val="bottom"/>
          </w:tcPr>
          <w:p>
            <w:pPr>
              <w:jc w:val="right"/>
              <w:ind w:right="2959"/>
              <w:spacing w:after="0"/>
              <w:rPr>
                <w:sz w:val="20"/>
                <w:szCs w:val="20"/>
                <w:color w:val="auto"/>
              </w:rPr>
            </w:pPr>
            <w:r>
              <w:rPr>
                <w:rFonts w:ascii="Times New Roman" w:cs="Times New Roman" w:eastAsia="Times New Roman" w:hAnsi="Times New Roman"/>
                <w:sz w:val="16"/>
                <w:szCs w:val="16"/>
                <w:color w:val="auto"/>
              </w:rPr>
              <w:t>2024</w:t>
            </w: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2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1,299</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2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4,221</w:t>
            </w:r>
          </w:p>
        </w:tc>
      </w:tr>
      <w:tr>
        <w:trPr>
          <w:trHeight w:val="219"/>
        </w:trPr>
        <w:tc>
          <w:tcPr>
            <w:tcW w:w="3400" w:type="dxa"/>
            <w:vAlign w:val="bottom"/>
            <w:shd w:val="clear" w:color="auto" w:fill="CCEEFF"/>
          </w:tcPr>
          <w:p>
            <w:pPr>
              <w:jc w:val="right"/>
              <w:ind w:right="2959"/>
              <w:spacing w:after="0"/>
              <w:rPr>
                <w:sz w:val="20"/>
                <w:szCs w:val="20"/>
                <w:color w:val="auto"/>
              </w:rPr>
            </w:pPr>
            <w:r>
              <w:rPr>
                <w:rFonts w:ascii="Times New Roman" w:cs="Times New Roman" w:eastAsia="Times New Roman" w:hAnsi="Times New Roman"/>
                <w:sz w:val="16"/>
                <w:szCs w:val="16"/>
                <w:color w:val="auto"/>
              </w:rPr>
              <w:t>2023</w:t>
            </w: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1,181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3,866</w:t>
            </w:r>
          </w:p>
        </w:tc>
      </w:tr>
      <w:tr>
        <w:trPr>
          <w:trHeight w:val="196"/>
        </w:trPr>
        <w:tc>
          <w:tcPr>
            <w:tcW w:w="3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Closings</w:t>
            </w:r>
          </w:p>
        </w:tc>
        <w:tc>
          <w:tcPr>
            <w:tcW w:w="1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196"/>
        </w:trPr>
        <w:tc>
          <w:tcPr>
            <w:tcW w:w="3400" w:type="dxa"/>
            <w:vAlign w:val="bottom"/>
          </w:tcPr>
          <w:p>
            <w:pPr>
              <w:spacing w:after="0"/>
              <w:rPr>
                <w:sz w:val="17"/>
                <w:szCs w:val="17"/>
                <w:color w:val="auto"/>
              </w:rPr>
            </w:pPr>
          </w:p>
        </w:tc>
        <w:tc>
          <w:tcPr>
            <w:tcW w:w="10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1st Qtr</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2nd Qtr</w:t>
            </w:r>
          </w:p>
        </w:tc>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3rd Qtr</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4th Qtr</w:t>
            </w:r>
          </w:p>
        </w:tc>
        <w:tc>
          <w:tcPr>
            <w:tcW w:w="146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400" w:type="dxa"/>
            <w:vAlign w:val="bottom"/>
            <w:tcBorders>
              <w:top w:val="single" w:sz="8" w:color="CCEEFF"/>
            </w:tcBorders>
            <w:shd w:val="clear" w:color="auto" w:fill="CCEEFF"/>
          </w:tcPr>
          <w:p>
            <w:pPr>
              <w:jc w:val="right"/>
              <w:ind w:right="29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907</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1,079</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1,035</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1,406</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4,427</w:t>
            </w:r>
          </w:p>
        </w:tc>
      </w:tr>
      <w:tr>
        <w:trPr>
          <w:trHeight w:val="213"/>
        </w:trPr>
        <w:tc>
          <w:tcPr>
            <w:tcW w:w="3400" w:type="dxa"/>
            <w:vAlign w:val="bottom"/>
          </w:tcPr>
          <w:p>
            <w:pPr>
              <w:jc w:val="right"/>
              <w:ind w:right="2959"/>
              <w:spacing w:after="0"/>
              <w:rPr>
                <w:sz w:val="20"/>
                <w:szCs w:val="20"/>
                <w:color w:val="auto"/>
              </w:rPr>
            </w:pPr>
            <w:r>
              <w:rPr>
                <w:rFonts w:ascii="Times New Roman" w:cs="Times New Roman" w:eastAsia="Times New Roman" w:hAnsi="Times New Roman"/>
                <w:sz w:val="16"/>
                <w:szCs w:val="16"/>
                <w:color w:val="auto"/>
              </w:rPr>
              <w:t>2024</w:t>
            </w: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2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1,044</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2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4,450</w:t>
            </w:r>
          </w:p>
        </w:tc>
      </w:tr>
      <w:tr>
        <w:trPr>
          <w:trHeight w:val="219"/>
        </w:trPr>
        <w:tc>
          <w:tcPr>
            <w:tcW w:w="3400" w:type="dxa"/>
            <w:vAlign w:val="bottom"/>
            <w:shd w:val="clear" w:color="auto" w:fill="CCEEFF"/>
          </w:tcPr>
          <w:p>
            <w:pPr>
              <w:jc w:val="right"/>
              <w:ind w:right="2959"/>
              <w:spacing w:after="0"/>
              <w:rPr>
                <w:sz w:val="20"/>
                <w:szCs w:val="20"/>
                <w:color w:val="auto"/>
              </w:rPr>
            </w:pPr>
            <w:r>
              <w:rPr>
                <w:rFonts w:ascii="Times New Roman" w:cs="Times New Roman" w:eastAsia="Times New Roman" w:hAnsi="Times New Roman"/>
                <w:sz w:val="16"/>
                <w:szCs w:val="16"/>
                <w:color w:val="auto"/>
              </w:rPr>
              <w:t>2023</w:t>
            </w: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1,063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4,246</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CONTINUING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key income statement metrics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4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Homebuilding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2,302,630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2,292,984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2,198,400</w:t>
            </w: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Land sales and 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68,925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37,213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8,385</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2,371,555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2,330,197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2,206,785</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Homebuilding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329,376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413,611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438,120</w:t>
            </w: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Land sales and 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8,138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10,683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4,575</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337,514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424,294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442,695</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Homebuilding</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Land sales and other</w:t>
            </w:r>
            <w:r>
              <w:rPr>
                <w:rFonts w:ascii="Times New Roman" w:cs="Times New Roman" w:eastAsia="Times New Roman" w:hAnsi="Times New Roman"/>
                <w:sz w:val="23"/>
                <w:szCs w:val="23"/>
                <w:color w:val="auto"/>
                <w:vertAlign w:val="superscript"/>
              </w:rPr>
              <w:t>(b)</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Commissions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76,911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80,056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73,450</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 (G&amp;A)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204,830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186,345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179,794</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SG&amp;A (commissions plus G&amp;A) as a percentage of total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G&amp;A as a percentage of total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19,168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14,867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12,198</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36,605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143,026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177,253</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as a percentage of total revenue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Effective tax rate</w:t>
            </w:r>
            <w:r>
              <w:rPr>
                <w:rFonts w:ascii="Times New Roman" w:cs="Times New Roman" w:eastAsia="Times New Roman" w:hAnsi="Times New Roman"/>
                <w:sz w:val="23"/>
                <w:szCs w:val="23"/>
                <w:b w:val="1"/>
                <w:bCs w:val="1"/>
                <w:color w:val="auto"/>
                <w:vertAlign w:val="superscript"/>
              </w:rPr>
              <w:t>(c)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Inventory impairments and abandonments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12,959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on extinguishment of debt, net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80" w:right="40" w:hanging="172"/>
        <w:spacing w:after="0" w:line="255" w:lineRule="auto"/>
        <w:tabs>
          <w:tab w:leader="none" w:pos="177"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Excluding impairments, abandonments, and interest amortized to cost of sales, homebuilding gross margin was 18.0%, 21.1% and 23.1% for the fiscal years ended September 30, 2025, 2024 and 2023, respectively. Please see the "Homebuilding Gross Profit and Gross Margin" section below for a reconciliation of homebuilding gross profit and the related gross margin excluding impairments and abandonments and interest amortized to cost of sales (non-GAAP measures) to homebuilding gross profit and gross margin, the most directly comparable GAAP measure.</w:t>
      </w:r>
    </w:p>
    <w:p>
      <w:pPr>
        <w:spacing w:after="0" w:line="115"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Calculated as land sales and other gross profit divided by land sales and other revenue.</w:t>
      </w:r>
    </w:p>
    <w:p>
      <w:pPr>
        <w:spacing w:after="0" w:line="143" w:lineRule="exact"/>
        <w:rPr>
          <w:rFonts w:ascii="Times New Roman" w:cs="Times New Roman" w:eastAsia="Times New Roman" w:hAnsi="Times New Roman"/>
          <w:sz w:val="22"/>
          <w:szCs w:val="22"/>
          <w:color w:val="auto"/>
          <w:vertAlign w:val="superscript"/>
        </w:rPr>
      </w:pPr>
    </w:p>
    <w:p>
      <w:pPr>
        <w:ind w:left="180" w:hanging="172"/>
        <w:spacing w:after="0" w:line="260" w:lineRule="auto"/>
        <w:tabs>
          <w:tab w:leader="none" w:pos="177"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Calculated as tax (benefit) expense for the period divided by income from continuing operations before income taxes. Our income tax (benefit) expense is not always directly correlated to the amount of pre-tax income for the associated period due to a variety of factors, including, but not limited to, the impact of tax credits and permanent differences. Our tax credits are predominantly due to the energy efficiency of our homes, with credits valued between $2,000 and $5,000 per single family home. On July 4, 2025, the One Big Beautiful Bill Act (OBBBA) was signed into law. The OBBBA repeals many of the energy-efficiency credits enacted under the Inflation Reduction Act, including our ability to claim energy efficient new home tax credits for homes that close after June 30, 2026. While this change does not impact our fiscal 2025 effective rate and deferred tax balances, we are evaluating the full impact of the OBBBA on our future tax provision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(GAAP) to Adjusted EBITDA (Non-GAAP)</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Reconciliation of Net Income (GAAP measure) to Adjusted EBITDA (Non-GAAP measure) is provided for each period discussed below. Management believes that Adjusted EBITDA assists investors in understanding and comparing core operating results and underlying business trends by eliminating many of the differences in companies' respective capitalization, tax position, level of impairments, and other non-recurring items. This non-GAAP financial measure may not be comparable to other similarly titled measures of other companies and should not be considered in isolation or as a substitute for, or superior to, financial measures prepared in accordance with GAAP.</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our net income (GAAP) to Adjusted EBITDA (non-GAAP) for the periods presented:</w:t>
      </w:r>
    </w:p>
    <w:p>
      <w:pPr>
        <w:spacing w:after="0" w:line="43"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(GAAP)</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122,021</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expense from income taxes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21,501</w:t>
            </w:r>
          </w:p>
        </w:tc>
        <w:tc>
          <w:tcPr>
            <w:tcW w:w="0" w:type="dxa"/>
            <w:vAlign w:val="bottom"/>
          </w:tcPr>
          <w:p>
            <w:pPr>
              <w:spacing w:after="0"/>
              <w:rPr>
                <w:sz w:val="1"/>
                <w:szCs w:val="1"/>
                <w:color w:val="auto"/>
              </w:rPr>
            </w:pPr>
          </w:p>
        </w:tc>
      </w:tr>
      <w:tr>
        <w:trPr>
          <w:trHeight w:val="176"/>
        </w:trPr>
        <w:tc>
          <w:tcPr>
            <w:tcW w:w="4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amortized to home construction and land sales expenses</w:t>
            </w: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78,866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capitalized interest impaired</w:t>
            </w:r>
          </w:p>
        </w:tc>
        <w:tc>
          <w:tcPr>
            <w:tcW w:w="28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87,290</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not qualified for capitalization</w:t>
            </w: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 (Non-GAAP)</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119,716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227,318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251,036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346,029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233,593</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 (Non-GAAP)</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138,884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247,569</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Inventory impairments and abandonments</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Gain on sale of investment</w:t>
            </w:r>
            <w:r>
              <w:rPr>
                <w:rFonts w:ascii="Times New Roman" w:cs="Times New Roman" w:eastAsia="Times New Roman" w:hAnsi="Times New Roman"/>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settlement in discontinued operations</w:t>
            </w: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severance expenses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(Non-GAAP)</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157,719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243,418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272,031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370,082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262,724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80" w:right="440" w:hanging="172"/>
        <w:spacing w:after="0" w:line="229" w:lineRule="auto"/>
        <w:tabs>
          <w:tab w:leader="none" w:pos="192"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periods during which we impaired certain of our inventory assets, capitalized interest that is impaired is included in the line above titled "Interest amortized to home construction and land sales expenses and capitalized interest impaired."</w:t>
      </w:r>
    </w:p>
    <w:p>
      <w:pPr>
        <w:spacing w:after="0" w:line="90" w:lineRule="exact"/>
        <w:rPr>
          <w:rFonts w:ascii="Times New Roman" w:cs="Times New Roman" w:eastAsia="Times New Roman" w:hAnsi="Times New Roman"/>
          <w:sz w:val="23"/>
          <w:szCs w:val="23"/>
          <w:color w:val="auto"/>
          <w:vertAlign w:val="superscript"/>
        </w:rPr>
      </w:pPr>
    </w:p>
    <w:p>
      <w:pPr>
        <w:ind w:left="180" w:right="80" w:hanging="172"/>
        <w:spacing w:after="0" w:line="258" w:lineRule="auto"/>
        <w:tabs>
          <w:tab w:leader="none" w:pos="183"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previously held a minority interest in a technology company specializing in digital marketing for new home communities, which was sold during the quarter ended March 31, 2024. In exchange for the previously held investment, we received cash in escrow along with a minority partnership interest in the acquiring company, which was recorded within other assets in our consolidated balance sheets. The resulting gain of $8.6 million from this transaction was recognized in other income, net on our consolidated statement of operations. The Company believes excluding this one-time gain from Adjusted EBITDA provides a better reflection of the Company's performance as this item is not representative of our core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Reconciliation of Total Debt to Total Capitalization Ratio (GAAP) to Net Debt to Net Capitalization Ratio (Non-GAAP)</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Reconciliation of total debt to total capitalization ratio (GAAP measure) to net debt to net capitalization ratio (non-GAAP measure) is provided for each period below. Management believes that net debt to net capitalization ratio is useful in understanding the leverage employed in our operations and as an indicator of our ability to obtain financing. This non-GAAP financial measure may not be comparable to other similarly titled measures of other companies and should not be considered in isolation or as a substitute for, or superior to, financial measures prepared in accordance with GAAP.</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0" w:type="dxa"/>
            <w:vAlign w:val="bottom"/>
          </w:tcPr>
          <w:p>
            <w:pPr>
              <w:spacing w:after="0"/>
              <w:rPr>
                <w:sz w:val="1"/>
                <w:szCs w:val="1"/>
                <w:color w:val="auto"/>
              </w:rPr>
            </w:pPr>
          </w:p>
        </w:tc>
      </w:tr>
      <w:tr>
        <w:trPr>
          <w:trHeight w:val="23"/>
        </w:trPr>
        <w:tc>
          <w:tcPr>
            <w:tcW w:w="7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(GAAP)</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1,029,114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1,025,349</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Stockholders' equity (GAAP)</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1,248,906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1,232,111</w:t>
            </w:r>
          </w:p>
        </w:tc>
        <w:tc>
          <w:tcPr>
            <w:tcW w:w="0" w:type="dxa"/>
            <w:vAlign w:val="bottom"/>
          </w:tcPr>
          <w:p>
            <w:pPr>
              <w:spacing w:after="0"/>
              <w:rPr>
                <w:sz w:val="1"/>
                <w:szCs w:val="1"/>
                <w:color w:val="auto"/>
              </w:rPr>
            </w:pP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 (GAAP)</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2,278,020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2,257,460</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debt to total capitalization ratio (GAAP)</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45.2 %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45.4 %</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(GAAP)</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1,029,114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1,025,349</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(GAAP)</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214,705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203,907</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debt (Non-GAAP)</w:t>
            </w:r>
          </w:p>
        </w:tc>
        <w:tc>
          <w:tcPr>
            <w:tcW w:w="34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814,409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821,442</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(GAAP)</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1,248,906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1,232,111</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capitalization (Non-GAAP)</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2,063,315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2,053,553</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 to net capitalization ratio (Non-GAAP)</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Homebuilding Operations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new orders and cancellation rates by reportable segment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New Orders, net</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Cancellation Rates</w:t>
            </w:r>
          </w:p>
        </w:tc>
        <w:tc>
          <w:tcPr>
            <w:tcW w:w="1080" w:type="dxa"/>
            <w:vAlign w:val="bottom"/>
          </w:tcPr>
          <w:p>
            <w:pPr>
              <w:spacing w:after="0"/>
              <w:rPr>
                <w:sz w:val="16"/>
                <w:szCs w:val="16"/>
                <w:color w:val="auto"/>
              </w:rPr>
            </w:pPr>
          </w:p>
        </w:tc>
      </w:tr>
      <w:tr>
        <w:trPr>
          <w:trHeight w:val="23"/>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0"/>
        </w:trPr>
        <w:tc>
          <w:tcPr>
            <w:tcW w:w="2200" w:type="dxa"/>
            <w:vAlign w:val="bottom"/>
          </w:tcPr>
          <w:p>
            <w:pPr>
              <w:spacing w:after="0"/>
              <w:rPr>
                <w:sz w:val="16"/>
                <w:szCs w:val="16"/>
                <w:color w:val="auto"/>
              </w:rPr>
            </w:pPr>
          </w:p>
        </w:tc>
        <w:tc>
          <w:tcPr>
            <w:tcW w:w="92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25 v 24</w:t>
            </w:r>
          </w:p>
        </w:tc>
        <w:tc>
          <w:tcPr>
            <w:tcW w:w="108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24 v 23</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tcBorders>
              <w:top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19.3 %</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Southeast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14.1 %</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23"/>
        </w:trPr>
        <w:tc>
          <w:tcPr>
            <w:tcW w:w="2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3,890</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r>
      <w:tr>
        <w:trPr>
          <w:trHeight w:val="21"/>
        </w:trPr>
        <w:tc>
          <w:tcPr>
            <w:tcW w:w="2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new orders for the year ended September 30, 2025 decreased to 3,890, down 7.8% from the year ended September 30, 2024. The decrease in net new orders was driven primarily by a decrease in sales pace from 2.4 orders per community per month in the prior year to 2.0, partially offset by an increase in average active community count from 144 in the prior year to 164.</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West Segment: </w:t>
      </w:r>
      <w:r>
        <w:rPr>
          <w:rFonts w:ascii="Times New Roman" w:cs="Times New Roman" w:eastAsia="Times New Roman" w:hAnsi="Times New Roman"/>
          <w:sz w:val="18"/>
          <w:szCs w:val="18"/>
          <w:color w:val="auto"/>
        </w:rPr>
        <w:t>Net new orders for the year ended September 30, 2025 was 2,365, down 14.1% from the year ended September 30, 2024. The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new orders compared to the prior year was driven by a 22.4% decrease in sales pace from 2.5 orders per community per month in the prior year to 1.9, partially offset by a 10.7% increase in average active community count from 93 in the prior year to 103.</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East Segment: </w:t>
      </w:r>
      <w:r>
        <w:rPr>
          <w:rFonts w:ascii="Times New Roman" w:cs="Times New Roman" w:eastAsia="Times New Roman" w:hAnsi="Times New Roman"/>
          <w:sz w:val="18"/>
          <w:szCs w:val="18"/>
          <w:color w:val="auto"/>
        </w:rPr>
        <w:t>Net new orders for the year ended September 30, 2025 was 935, up 2.5% from the year ended September 30, 2024. The increase in net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orders compared to the prior year was driven by a 20.6% increase in average active community count from 30 in the prior year to 36, partially offset by a 15.0% decrease in sales pace from 2.5 orders per community per month in the prior year to 2.2.</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Southeast Segment: </w:t>
      </w:r>
      <w:r>
        <w:rPr>
          <w:rFonts w:ascii="Times New Roman" w:cs="Times New Roman" w:eastAsia="Times New Roman" w:hAnsi="Times New Roman"/>
          <w:sz w:val="18"/>
          <w:szCs w:val="18"/>
          <w:color w:val="auto"/>
        </w:rPr>
        <w:t>Net new orders for the year ended September 30, 2025 was 590, up 6.1% from the year ended September 30, 2024.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orders compared to the prior year was driven by a 20.2% increase in average active community count from 21 in the prior year to 25, partially offset by an 11.7% decrease in sales pace from 2.2 orders per community per month in the prior year to 1.9.</w:t>
      </w:r>
    </w:p>
    <w:p>
      <w:pPr>
        <w:spacing w:after="0" w:line="12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table below summarizes backlog units by reportable segment as well as the aggregate dollar value and ASP of homes in backlog as of September 30, 2025, 2024 and 2023:</w:t>
      </w:r>
    </w:p>
    <w:tbl>
      <w:tblPr>
        <w:tblLayout w:type="fixed"/>
        <w:tblInd w:w="4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25 v 24</w:t>
            </w:r>
          </w:p>
        </w:tc>
        <w:tc>
          <w:tcPr>
            <w:tcW w:w="11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color w:val="auto"/>
              </w:rPr>
              <w:t>24 v 23</w:t>
            </w: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Backlog Units:</w:t>
            </w: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Southeast</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Aggregate dollar value of homes in backlog (in millions)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line="20" w:lineRule="exact"/>
              <w:rPr>
                <w:sz w:val="1"/>
                <w:szCs w:val="1"/>
                <w:color w:val="auto"/>
              </w:rPr>
            </w:pPr>
          </w:p>
        </w:tc>
      </w:tr>
      <w:tr>
        <w:trPr>
          <w:trHeight w:val="204"/>
        </w:trPr>
        <w:tc>
          <w:tcPr>
            <w:tcW w:w="5360" w:type="dxa"/>
            <w:vAlign w:val="bottom"/>
            <w:vMerge w:val="continue"/>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516.5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797.2</w:t>
            </w:r>
          </w:p>
        </w:tc>
        <w:tc>
          <w:tcPr>
            <w:tcW w:w="1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886.4</w:t>
            </w: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ASP in backlog (in thousands)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546.5</w:t>
            </w:r>
          </w:p>
        </w:tc>
        <w:tc>
          <w:tcPr>
            <w:tcW w:w="3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Backlog reflects the number of homes for which the Company has entered into a sales contract with a customer but has not yet delivered the home. The decrease in backlog units was primarily due to closings exceeding net new orders for the year ended September 30, 2025. The aggregate dollar value of homes in backlog as of September 30, 2025 decreased 35.2% compared to the prior year due to a 36.2% decrease in backlog units, partially offset by a 1.6% increase in the ASP of homes in backlog. The increase in backlog ASP was primarily due to changes in product and community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Homebuilding Revenue, Average Selling Price, and Closings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homebuilding revenue, ASP of our homes closed, and closings by reportable segment for the periods presented:</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Homebuilding Revenue</w:t>
            </w: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Average Selling Price</w:t>
            </w: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20" w:type="dxa"/>
            <w:vAlign w:val="bottom"/>
            <w:vMerge w:val="continue"/>
          </w:tcPr>
          <w:p>
            <w:pPr>
              <w:spacing w:after="0"/>
              <w:rPr>
                <w:sz w:val="15"/>
                <w:szCs w:val="15"/>
                <w:color w:val="auto"/>
              </w:rPr>
            </w:pPr>
          </w:p>
        </w:tc>
        <w:tc>
          <w:tcPr>
            <w:tcW w:w="10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6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2023</w:t>
            </w:r>
          </w:p>
        </w:tc>
        <w:tc>
          <w:tcPr>
            <w:tcW w:w="8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25 v 24</w:t>
            </w:r>
          </w:p>
        </w:tc>
        <w:tc>
          <w:tcPr>
            <w:tcW w:w="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24 v 23</w:t>
            </w:r>
          </w:p>
        </w:tc>
        <w:tc>
          <w:tcPr>
            <w:tcW w:w="120" w:type="dxa"/>
            <w:vAlign w:val="bottom"/>
          </w:tcPr>
          <w:p>
            <w:pPr>
              <w:spacing w:after="0"/>
              <w:rPr>
                <w:sz w:val="15"/>
                <w:szCs w:val="15"/>
                <w:color w:val="auto"/>
              </w:rPr>
            </w:pPr>
          </w:p>
        </w:tc>
        <w:tc>
          <w:tcPr>
            <w:tcW w:w="9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2024</w:t>
            </w:r>
          </w:p>
        </w:tc>
        <w:tc>
          <w:tcPr>
            <w:tcW w:w="14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2023</w:t>
            </w:r>
          </w:p>
        </w:tc>
        <w:tc>
          <w:tcPr>
            <w:tcW w:w="8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25 v 24</w:t>
            </w:r>
          </w:p>
        </w:tc>
        <w:tc>
          <w:tcPr>
            <w:tcW w:w="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24 v 23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West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1,422,260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1,448,607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1,292,060</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507.0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523.5</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4"/>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East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575,533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483,611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503,479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19.0 %</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7.1 %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6"/>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Southeast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304,837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360,766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402,861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508.1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11"/>
        </w:trPr>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2,302,630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2,292,984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2,198,400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0.4 %</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520.1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0.9 %</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
        </w:trPr>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10"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Closings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25 v 24</w:t>
            </w:r>
          </w:p>
        </w:tc>
        <w:tc>
          <w:tcPr>
            <w:tcW w:w="1420" w:type="dxa"/>
            <w:vAlign w:val="bottom"/>
            <w:tcBorders>
              <w:top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color w:val="auto"/>
              </w:rPr>
              <w:t>24 v 23</w:t>
            </w:r>
          </w:p>
        </w:tc>
      </w:tr>
      <w:tr>
        <w:trPr>
          <w:trHeight w:val="216"/>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West</w:t>
            </w: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2,805</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r>
      <w:tr>
        <w:trPr>
          <w:trHeight w:val="214"/>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East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1,022</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11.1 %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Southeast</w:t>
            </w: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600</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1"/>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4,427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(0.5)%</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0"/>
        </w:trPr>
        <w:tc>
          <w:tcPr>
            <w:tcW w:w="4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West Segment: </w:t>
      </w:r>
      <w:r>
        <w:rPr>
          <w:rFonts w:ascii="Times New Roman" w:cs="Times New Roman" w:eastAsia="Times New Roman" w:hAnsi="Times New Roman"/>
          <w:sz w:val="18"/>
          <w:szCs w:val="18"/>
          <w:color w:val="auto"/>
        </w:rPr>
        <w:t>Homebuilding revenue decreased by 1.8% for the fiscal year ended September 30, 2025 compared to the prior fiscal year due to a 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ASP and a 0.6% decrease in closings. The year-over-year slight decrease in closings in the West segment was primarily due to lower beginning backlog, partially offset by higher volume of spec homes that sold and closed within the current year period and improved construction cycle times for fiscal 2025 compared to fiscal 2024.</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East Segment: </w:t>
      </w:r>
      <w:r>
        <w:rPr>
          <w:rFonts w:ascii="Times New Roman" w:cs="Times New Roman" w:eastAsia="Times New Roman" w:hAnsi="Times New Roman"/>
          <w:sz w:val="18"/>
          <w:szCs w:val="18"/>
          <w:color w:val="auto"/>
        </w:rPr>
        <w:t>Homebuilding revenue increased by 19.0% for the fiscal year ended September 30, 2025 compared to the prior fiscal year due to an 11.1%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closings as well as a 7.1% increase in ASP. The year-over-year increase in closings in the East segment was primarily due to higher volume of spec homes that sold and closed within the current year period and improved construction cycle times, partially offset by lower beginning backlog, for fiscal 2025 compared to fiscal 2024.</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Southeast Segment: </w:t>
      </w:r>
      <w:r>
        <w:rPr>
          <w:rFonts w:ascii="Times New Roman" w:cs="Times New Roman" w:eastAsia="Times New Roman" w:hAnsi="Times New Roman"/>
          <w:sz w:val="18"/>
          <w:szCs w:val="18"/>
          <w:color w:val="auto"/>
        </w:rPr>
        <w:t>Homebuilding revenue decreased by 15.5% for the fiscal year ended September 30, 2025 compared to the prior fiscal year due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15.4% decrease in closings, and a 0.1% decrease in ASP. The year-over-year decrease in closings in the Southeast segment is primarily due to lower beginning backlog, partially offset by higher volume of spec homes that sold and closed within the current year period for fiscal 2025 compared to fiscal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Homebuilding Gross Profit and Gross Margin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present our homebuilding (HB) gross profit and gross margin by reportable segment and Corporate and unallocated. In addition, such amounts are presented excluding inventory impairments and abandonments and interest amortized to cost of sales (COS). Homebuilding gross profit is defined as homebuilding revenue less home cost of sales (which includes land and land development costs, home construction costs, capitalized interest, indirect costs of construction, estimated warranty costs, closing costs, and inventory impairment and abandonment charges).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Reconciliation of homebuilding gross profit and homebuilding gross margin (GAAP measures) to homebuilding gross profit and the related gross margin excluding impairments and abandonments and interest amortized to cost of sales (non-GAAP measures) is provided for each period discussed below. Management believes that this information assists investors in comparing the operating characteristics of homebuilding activities by eliminating many of the differences in companies' respective level of impairments and level of debt. These non-GAAP financial measures may not be comparable to other similarly titled measures of other companies and should not be considered in isolation or as a substitute for, or superior to, financial measures prepared in accordance with GAAP.</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 Ended September 30, 2025</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HB Gross</w:t>
            </w:r>
          </w:p>
        </w:tc>
        <w:tc>
          <w:tcPr>
            <w:tcW w:w="100" w:type="dxa"/>
            <w:vAlign w:val="bottom"/>
          </w:tcPr>
          <w:p>
            <w:pPr>
              <w:spacing w:after="0"/>
              <w:rPr>
                <w:sz w:val="11"/>
                <w:szCs w:val="11"/>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HB Gross</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HB Gross Profit</w:t>
            </w:r>
          </w:p>
        </w:tc>
        <w:tc>
          <w:tcPr>
            <w:tcW w:w="100" w:type="dxa"/>
            <w:vAlign w:val="bottom"/>
          </w:tcPr>
          <w:p>
            <w:pPr>
              <w:spacing w:after="0"/>
              <w:rPr>
                <w:sz w:val="11"/>
                <w:szCs w:val="1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HB Gross Margin</w:t>
            </w: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Impairments &amp;</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excluding I&amp;A</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HB Gross</w:t>
            </w:r>
          </w:p>
        </w:tc>
        <w:tc>
          <w:tcPr>
            <w:tcW w:w="120" w:type="dxa"/>
            <w:vAlign w:val="bottom"/>
          </w:tcPr>
          <w:p>
            <w:pPr>
              <w:spacing w:after="0"/>
              <w:rPr>
                <w:sz w:val="11"/>
                <w:szCs w:val="11"/>
                <w:color w:val="auto"/>
              </w:rPr>
            </w:pPr>
          </w:p>
        </w:tc>
        <w:tc>
          <w:tcPr>
            <w:tcW w:w="94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HB Gross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Profit excluding</w:t>
            </w:r>
          </w:p>
        </w:tc>
        <w:tc>
          <w:tcPr>
            <w:tcW w:w="10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Margin</w:t>
            </w: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and</w:t>
            </w:r>
          </w:p>
        </w:tc>
        <w:tc>
          <w:tcPr>
            <w:tcW w:w="100" w:type="dxa"/>
            <w:vAlign w:val="bottom"/>
          </w:tcPr>
          <w:p>
            <w:pPr>
              <w:spacing w:after="0"/>
              <w:rPr>
                <w:sz w:val="11"/>
                <w:szCs w:val="11"/>
                <w:color w:val="auto"/>
              </w:rPr>
            </w:pPr>
          </w:p>
        </w:tc>
        <w:tc>
          <w:tcPr>
            <w:tcW w:w="1060" w:type="dxa"/>
            <w:vAlign w:val="bottom"/>
          </w:tcPr>
          <w:p>
            <w:pPr>
              <w:jc w:val="center"/>
              <w:ind w:left="68"/>
              <w:spacing w:after="0" w:line="135" w:lineRule="exact"/>
              <w:rPr>
                <w:sz w:val="20"/>
                <w:szCs w:val="20"/>
                <w:color w:val="auto"/>
              </w:rPr>
            </w:pPr>
            <w:r>
              <w:rPr>
                <w:rFonts w:ascii="Times New Roman" w:cs="Times New Roman" w:eastAsia="Times New Roman" w:hAnsi="Times New Roman"/>
                <w:sz w:val="14"/>
                <w:szCs w:val="14"/>
                <w:b w:val="1"/>
                <w:bCs w:val="1"/>
                <w:color w:val="auto"/>
              </w:rPr>
              <w:t>excluding I&amp;A</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Abandonments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I&amp;A (Non-</w:t>
            </w: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Amortized to</w:t>
            </w:r>
          </w:p>
        </w:tc>
        <w:tc>
          <w:tcPr>
            <w:tcW w:w="10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Interest (Non-</w:t>
            </w:r>
          </w:p>
        </w:tc>
        <w:tc>
          <w:tcPr>
            <w:tcW w:w="10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Interest (Non-</w:t>
            </w:r>
          </w:p>
        </w:tc>
        <w:tc>
          <w:tcPr>
            <w:tcW w:w="0" w:type="dxa"/>
            <w:vAlign w:val="bottom"/>
          </w:tcPr>
          <w:p>
            <w:pPr>
              <w:spacing w:after="0"/>
              <w:rPr>
                <w:sz w:val="1"/>
                <w:szCs w:val="1"/>
                <w:color w:val="auto"/>
              </w:rPr>
            </w:pPr>
          </w:p>
        </w:tc>
      </w:tr>
      <w:tr>
        <w:trPr>
          <w:trHeight w:val="198"/>
        </w:trPr>
        <w:tc>
          <w:tcPr>
            <w:tcW w:w="150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Profit (GAAP)</w:t>
            </w:r>
          </w:p>
        </w:tc>
        <w:tc>
          <w:tcPr>
            <w:tcW w:w="12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Margin (GAAP)</w:t>
            </w:r>
          </w:p>
        </w:tc>
        <w:tc>
          <w:tcPr>
            <w:tcW w:w="120" w:type="dxa"/>
            <w:vAlign w:val="bottom"/>
          </w:tcPr>
          <w:p>
            <w:pPr>
              <w:spacing w:after="0"/>
              <w:rPr>
                <w:sz w:val="17"/>
                <w:szCs w:val="17"/>
                <w:color w:val="auto"/>
              </w:rPr>
            </w:pPr>
          </w:p>
        </w:tc>
        <w:tc>
          <w:tcPr>
            <w:tcW w:w="11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(I&amp;A)</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GAAP)</w:t>
            </w: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I&amp;A (Non-GAAP)</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COS (Interest)</w:t>
            </w:r>
          </w:p>
        </w:tc>
        <w:tc>
          <w:tcPr>
            <w:tcW w:w="10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GAAP)</w:t>
            </w:r>
          </w:p>
        </w:tc>
        <w:tc>
          <w:tcPr>
            <w:tcW w:w="100" w:type="dxa"/>
            <w:vAlign w:val="bottom"/>
          </w:tcPr>
          <w:p>
            <w:pPr>
              <w:spacing w:after="0"/>
              <w:rPr>
                <w:sz w:val="17"/>
                <w:szCs w:val="17"/>
                <w:color w:val="auto"/>
              </w:rPr>
            </w:pPr>
          </w:p>
        </w:tc>
        <w:tc>
          <w:tcPr>
            <w:tcW w:w="10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9"/>
              </w:rPr>
              <w:t>GAAP)</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West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255,332</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3,157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258,489</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258,489</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18.2 %</w:t>
            </w:r>
          </w:p>
        </w:tc>
        <w:tc>
          <w:tcPr>
            <w:tcW w:w="0" w:type="dxa"/>
            <w:vAlign w:val="bottom"/>
          </w:tcPr>
          <w:p>
            <w:pPr>
              <w:spacing w:after="0"/>
              <w:rPr>
                <w:sz w:val="1"/>
                <w:szCs w:val="1"/>
                <w:color w:val="auto"/>
              </w:rPr>
            </w:pPr>
          </w:p>
        </w:tc>
      </w:tr>
      <w:tr>
        <w:trPr>
          <w:trHeight w:val="196"/>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98,132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17.1 %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98,347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17.1 %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98,347</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17.1 %</w:t>
            </w:r>
          </w:p>
        </w:tc>
        <w:tc>
          <w:tcPr>
            <w:tcW w:w="0" w:type="dxa"/>
            <w:vAlign w:val="bottom"/>
          </w:tcPr>
          <w:p>
            <w:pPr>
              <w:spacing w:after="0"/>
              <w:rPr>
                <w:sz w:val="1"/>
                <w:szCs w:val="1"/>
                <w:color w:val="auto"/>
              </w:rPr>
            </w:pPr>
          </w:p>
        </w:tc>
      </w:tr>
      <w:tr>
        <w:trPr>
          <w:trHeight w:val="20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Southeast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46,790</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5,852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52,642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52,642</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17.3 %</w:t>
            </w:r>
          </w:p>
        </w:tc>
        <w:tc>
          <w:tcPr>
            <w:tcW w:w="0" w:type="dxa"/>
            <w:vAlign w:val="bottom"/>
          </w:tcPr>
          <w:p>
            <w:pPr>
              <w:spacing w:after="0"/>
              <w:rPr>
                <w:sz w:val="1"/>
                <w:szCs w:val="1"/>
                <w:color w:val="auto"/>
              </w:rPr>
            </w:pPr>
          </w:p>
        </w:tc>
      </w:tr>
      <w:tr>
        <w:trPr>
          <w:trHeight w:val="135"/>
        </w:trPr>
        <w:tc>
          <w:tcPr>
            <w:tcW w:w="15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(70,878)</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1,002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(69,876)</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73,743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3,867</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(a)</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homebuilding</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329,376</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14.3 %</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10,226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339,602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14.7 %</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73,743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413,345</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18.0 %</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40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Fiscal Year Ended September 30, 2024</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HB Gross</w:t>
            </w:r>
          </w:p>
        </w:tc>
        <w:tc>
          <w:tcPr>
            <w:tcW w:w="100" w:type="dxa"/>
            <w:vAlign w:val="bottom"/>
          </w:tcPr>
          <w:p>
            <w:pPr>
              <w:spacing w:after="0"/>
              <w:rPr>
                <w:sz w:val="11"/>
                <w:szCs w:val="11"/>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HB Gross</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HB Gross Profit</w:t>
            </w:r>
          </w:p>
        </w:tc>
        <w:tc>
          <w:tcPr>
            <w:tcW w:w="100" w:type="dxa"/>
            <w:vAlign w:val="bottom"/>
          </w:tcPr>
          <w:p>
            <w:pPr>
              <w:spacing w:after="0"/>
              <w:rPr>
                <w:sz w:val="11"/>
                <w:szCs w:val="1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HB Gross Margin</w:t>
            </w:r>
          </w:p>
        </w:tc>
        <w:tc>
          <w:tcPr>
            <w:tcW w:w="0" w:type="dxa"/>
            <w:vAlign w:val="bottom"/>
          </w:tcPr>
          <w:p>
            <w:pPr>
              <w:spacing w:after="0"/>
              <w:rPr>
                <w:sz w:val="1"/>
                <w:szCs w:val="1"/>
                <w:color w:val="auto"/>
              </w:rPr>
            </w:pPr>
          </w:p>
        </w:tc>
      </w:tr>
      <w:tr>
        <w:trPr>
          <w:trHeight w:val="144"/>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Impairments &amp;</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Interest</w:t>
            </w:r>
          </w:p>
        </w:tc>
        <w:tc>
          <w:tcPr>
            <w:tcW w:w="100" w:type="dxa"/>
            <w:vAlign w:val="bottom"/>
          </w:tcPr>
          <w:p>
            <w:pPr>
              <w:spacing w:after="0"/>
              <w:rPr>
                <w:sz w:val="12"/>
                <w:szCs w:val="12"/>
                <w:color w:val="auto"/>
              </w:rPr>
            </w:pPr>
          </w:p>
        </w:tc>
        <w:tc>
          <w:tcPr>
            <w:tcW w:w="980" w:type="dxa"/>
            <w:vAlign w:val="bottom"/>
          </w:tcPr>
          <w:p>
            <w:pPr>
              <w:jc w:val="center"/>
              <w:ind w:right="28"/>
              <w:spacing w:after="0" w:line="145" w:lineRule="exact"/>
              <w:rPr>
                <w:sz w:val="20"/>
                <w:szCs w:val="20"/>
                <w:color w:val="auto"/>
              </w:rPr>
            </w:pPr>
            <w:r>
              <w:rPr>
                <w:rFonts w:ascii="Times New Roman" w:cs="Times New Roman" w:eastAsia="Times New Roman" w:hAnsi="Times New Roman"/>
                <w:sz w:val="14"/>
                <w:szCs w:val="14"/>
                <w:color w:val="auto"/>
              </w:rPr>
              <w:t>excluding I&amp;A</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HB Gross</w:t>
            </w:r>
          </w:p>
        </w:tc>
        <w:tc>
          <w:tcPr>
            <w:tcW w:w="120" w:type="dxa"/>
            <w:vAlign w:val="bottom"/>
          </w:tcPr>
          <w:p>
            <w:pPr>
              <w:spacing w:after="0"/>
              <w:rPr>
                <w:sz w:val="11"/>
                <w:szCs w:val="11"/>
                <w:color w:val="auto"/>
              </w:rPr>
            </w:pPr>
          </w:p>
        </w:tc>
        <w:tc>
          <w:tcPr>
            <w:tcW w:w="94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HB Gross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auto"/>
              </w:rPr>
              <w:t>Profit excluding</w:t>
            </w:r>
          </w:p>
        </w:tc>
        <w:tc>
          <w:tcPr>
            <w:tcW w:w="10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Margin</w:t>
            </w: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color w:val="auto"/>
                <w:w w:val="98"/>
              </w:rPr>
              <w:t>and</w:t>
            </w:r>
          </w:p>
        </w:tc>
        <w:tc>
          <w:tcPr>
            <w:tcW w:w="100" w:type="dxa"/>
            <w:vAlign w:val="bottom"/>
          </w:tcPr>
          <w:p>
            <w:pPr>
              <w:spacing w:after="0"/>
              <w:rPr>
                <w:sz w:val="11"/>
                <w:szCs w:val="11"/>
                <w:color w:val="auto"/>
              </w:rPr>
            </w:pPr>
          </w:p>
        </w:tc>
        <w:tc>
          <w:tcPr>
            <w:tcW w:w="1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auto"/>
              </w:rPr>
              <w:t>excluding I&amp;A and</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Abandonments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I&amp;A (Non-</w:t>
            </w: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excluding</w:t>
            </w: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Amortized to</w:t>
            </w:r>
          </w:p>
        </w:tc>
        <w:tc>
          <w:tcPr>
            <w:tcW w:w="10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Interest (Non-</w:t>
            </w:r>
          </w:p>
        </w:tc>
        <w:tc>
          <w:tcPr>
            <w:tcW w:w="100" w:type="dxa"/>
            <w:vAlign w:val="bottom"/>
          </w:tcPr>
          <w:p>
            <w:pPr>
              <w:spacing w:after="0"/>
              <w:rPr>
                <w:sz w:val="12"/>
                <w:szCs w:val="12"/>
                <w:color w:val="auto"/>
              </w:rPr>
            </w:pPr>
          </w:p>
        </w:tc>
        <w:tc>
          <w:tcPr>
            <w:tcW w:w="106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Interest (Non-</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Profit (GAAP)</w:t>
            </w:r>
          </w:p>
        </w:tc>
        <w:tc>
          <w:tcPr>
            <w:tcW w:w="12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Margin (GAAP)</w:t>
            </w:r>
          </w:p>
        </w:tc>
        <w:tc>
          <w:tcPr>
            <w:tcW w:w="120" w:type="dxa"/>
            <w:vAlign w:val="bottom"/>
          </w:tcPr>
          <w:p>
            <w:pPr>
              <w:spacing w:after="0"/>
              <w:rPr>
                <w:sz w:val="17"/>
                <w:szCs w:val="17"/>
                <w:color w:val="auto"/>
              </w:rPr>
            </w:pPr>
          </w:p>
        </w:tc>
        <w:tc>
          <w:tcPr>
            <w:tcW w:w="11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(I&amp;A)</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GAAP)</w:t>
            </w: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I&amp;A (Non-GAAP)</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COS (Interest)</w:t>
            </w:r>
          </w:p>
        </w:tc>
        <w:tc>
          <w:tcPr>
            <w:tcW w:w="100" w:type="dxa"/>
            <w:vAlign w:val="bottom"/>
          </w:tcPr>
          <w:p>
            <w:pPr>
              <w:spacing w:after="0"/>
              <w:rPr>
                <w:sz w:val="17"/>
                <w:szCs w:val="17"/>
                <w:color w:val="auto"/>
              </w:rPr>
            </w:pP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GAAP)</w:t>
            </w:r>
          </w:p>
        </w:tc>
        <w:tc>
          <w:tcPr>
            <w:tcW w:w="100" w:type="dxa"/>
            <w:vAlign w:val="bottom"/>
          </w:tcPr>
          <w:p>
            <w:pPr>
              <w:spacing w:after="0"/>
              <w:rPr>
                <w:sz w:val="17"/>
                <w:szCs w:val="17"/>
                <w:color w:val="auto"/>
              </w:rPr>
            </w:pPr>
          </w:p>
        </w:tc>
        <w:tc>
          <w:tcPr>
            <w:tcW w:w="10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GAAP)</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306,366</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308,171</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308,171</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95"/>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East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87,481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87,572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18.1 %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87,572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Southeast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79,174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79,274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79,274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6"/>
        </w:trPr>
        <w:tc>
          <w:tcPr>
            <w:tcW w:w="150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Corporate &amp;</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(59,410)</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(59,410)</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67,658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8,248</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500" w:type="dxa"/>
            <w:vAlign w:val="bottom"/>
            <w:tcBorders>
              <w:bottom w:val="single" w:sz="8" w:color="CCEEFF"/>
            </w:tcBorders>
          </w:tcPr>
          <w:p>
            <w:pPr>
              <w:ind w:left="20"/>
              <w:spacing w:after="0" w:line="201" w:lineRule="exact"/>
              <w:rPr>
                <w:sz w:val="20"/>
                <w:szCs w:val="20"/>
                <w:color w:val="auto"/>
              </w:rPr>
            </w:pPr>
            <w:r>
              <w:rPr>
                <w:rFonts w:ascii="Times New Roman" w:cs="Times New Roman" w:eastAsia="Times New Roman" w:hAnsi="Times New Roman"/>
                <w:sz w:val="14"/>
                <w:szCs w:val="14"/>
                <w:color w:val="auto"/>
              </w:rPr>
              <w:t>unallocated</w:t>
            </w:r>
            <w:r>
              <w:rPr>
                <w:rFonts w:ascii="Times New Roman" w:cs="Times New Roman" w:eastAsia="Times New Roman" w:hAnsi="Times New Roman"/>
                <w:sz w:val="18"/>
                <w:szCs w:val="18"/>
                <w:color w:val="auto"/>
                <w:vertAlign w:val="superscript"/>
              </w:rPr>
              <w:t>(a)</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homebuilding</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413,611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1,996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415,607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18.1 %</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67,658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483,265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40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Fiscal Year Ended September 30, 2023</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HB Gross</w:t>
            </w:r>
          </w:p>
        </w:tc>
        <w:tc>
          <w:tcPr>
            <w:tcW w:w="100" w:type="dxa"/>
            <w:vAlign w:val="bottom"/>
          </w:tcPr>
          <w:p>
            <w:pPr>
              <w:spacing w:after="0"/>
              <w:rPr>
                <w:sz w:val="11"/>
                <w:szCs w:val="11"/>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HB Gross</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HB Gross Profit</w:t>
            </w:r>
          </w:p>
        </w:tc>
        <w:tc>
          <w:tcPr>
            <w:tcW w:w="100" w:type="dxa"/>
            <w:vAlign w:val="bottom"/>
          </w:tcPr>
          <w:p>
            <w:pPr>
              <w:spacing w:after="0"/>
              <w:rPr>
                <w:sz w:val="11"/>
                <w:szCs w:val="1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HB Gross Margin</w:t>
            </w:r>
          </w:p>
        </w:tc>
        <w:tc>
          <w:tcPr>
            <w:tcW w:w="0" w:type="dxa"/>
            <w:vAlign w:val="bottom"/>
          </w:tcPr>
          <w:p>
            <w:pPr>
              <w:spacing w:after="0"/>
              <w:rPr>
                <w:sz w:val="1"/>
                <w:szCs w:val="1"/>
                <w:color w:val="auto"/>
              </w:rPr>
            </w:pPr>
          </w:p>
        </w:tc>
      </w:tr>
      <w:tr>
        <w:trPr>
          <w:trHeight w:val="144"/>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Impairments &amp;</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Interest</w:t>
            </w:r>
          </w:p>
        </w:tc>
        <w:tc>
          <w:tcPr>
            <w:tcW w:w="100" w:type="dxa"/>
            <w:vAlign w:val="bottom"/>
          </w:tcPr>
          <w:p>
            <w:pPr>
              <w:spacing w:after="0"/>
              <w:rPr>
                <w:sz w:val="12"/>
                <w:szCs w:val="12"/>
                <w:color w:val="auto"/>
              </w:rPr>
            </w:pPr>
          </w:p>
        </w:tc>
        <w:tc>
          <w:tcPr>
            <w:tcW w:w="980" w:type="dxa"/>
            <w:vAlign w:val="bottom"/>
          </w:tcPr>
          <w:p>
            <w:pPr>
              <w:jc w:val="center"/>
              <w:ind w:right="28"/>
              <w:spacing w:after="0" w:line="145" w:lineRule="exact"/>
              <w:rPr>
                <w:sz w:val="20"/>
                <w:szCs w:val="20"/>
                <w:color w:val="auto"/>
              </w:rPr>
            </w:pPr>
            <w:r>
              <w:rPr>
                <w:rFonts w:ascii="Times New Roman" w:cs="Times New Roman" w:eastAsia="Times New Roman" w:hAnsi="Times New Roman"/>
                <w:sz w:val="14"/>
                <w:szCs w:val="14"/>
                <w:color w:val="auto"/>
              </w:rPr>
              <w:t>excluding I&amp;A</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HB Gross</w:t>
            </w:r>
          </w:p>
        </w:tc>
        <w:tc>
          <w:tcPr>
            <w:tcW w:w="120" w:type="dxa"/>
            <w:vAlign w:val="bottom"/>
          </w:tcPr>
          <w:p>
            <w:pPr>
              <w:spacing w:after="0"/>
              <w:rPr>
                <w:sz w:val="11"/>
                <w:szCs w:val="11"/>
                <w:color w:val="auto"/>
              </w:rPr>
            </w:pPr>
          </w:p>
        </w:tc>
        <w:tc>
          <w:tcPr>
            <w:tcW w:w="94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HB Gross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auto"/>
              </w:rPr>
              <w:t>Profit excluding</w:t>
            </w:r>
          </w:p>
        </w:tc>
        <w:tc>
          <w:tcPr>
            <w:tcW w:w="10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Margin</w:t>
            </w: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color w:val="auto"/>
                <w:w w:val="98"/>
              </w:rPr>
              <w:t>and</w:t>
            </w:r>
          </w:p>
        </w:tc>
        <w:tc>
          <w:tcPr>
            <w:tcW w:w="100" w:type="dxa"/>
            <w:vAlign w:val="bottom"/>
          </w:tcPr>
          <w:p>
            <w:pPr>
              <w:spacing w:after="0"/>
              <w:rPr>
                <w:sz w:val="11"/>
                <w:szCs w:val="11"/>
                <w:color w:val="auto"/>
              </w:rPr>
            </w:pPr>
          </w:p>
        </w:tc>
        <w:tc>
          <w:tcPr>
            <w:tcW w:w="1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auto"/>
              </w:rPr>
              <w:t>excluding I&amp;A and</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Abandonments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color w:val="auto"/>
              </w:rPr>
              <w:t>I&amp;A (Non-</w:t>
            </w: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excluding</w:t>
            </w: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Amortized to</w:t>
            </w:r>
          </w:p>
        </w:tc>
        <w:tc>
          <w:tcPr>
            <w:tcW w:w="10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Interest (Non-</w:t>
            </w:r>
          </w:p>
        </w:tc>
        <w:tc>
          <w:tcPr>
            <w:tcW w:w="100" w:type="dxa"/>
            <w:vAlign w:val="bottom"/>
          </w:tcPr>
          <w:p>
            <w:pPr>
              <w:spacing w:after="0"/>
              <w:rPr>
                <w:sz w:val="12"/>
                <w:szCs w:val="12"/>
                <w:color w:val="auto"/>
              </w:rPr>
            </w:pPr>
          </w:p>
        </w:tc>
        <w:tc>
          <w:tcPr>
            <w:tcW w:w="106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Interest (Non-</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Profit (GAAP)</w:t>
            </w:r>
          </w:p>
        </w:tc>
        <w:tc>
          <w:tcPr>
            <w:tcW w:w="12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Margin (GAAP)</w:t>
            </w:r>
          </w:p>
        </w:tc>
        <w:tc>
          <w:tcPr>
            <w:tcW w:w="120" w:type="dxa"/>
            <w:vAlign w:val="bottom"/>
          </w:tcPr>
          <w:p>
            <w:pPr>
              <w:spacing w:after="0"/>
              <w:rPr>
                <w:sz w:val="17"/>
                <w:szCs w:val="17"/>
                <w:color w:val="auto"/>
              </w:rPr>
            </w:pPr>
          </w:p>
        </w:tc>
        <w:tc>
          <w:tcPr>
            <w:tcW w:w="11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(I&amp;A)</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GAAP)</w:t>
            </w: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I&amp;A (Non-GAAP)</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COS (Interest)</w:t>
            </w:r>
          </w:p>
        </w:tc>
        <w:tc>
          <w:tcPr>
            <w:tcW w:w="100" w:type="dxa"/>
            <w:vAlign w:val="bottom"/>
          </w:tcPr>
          <w:p>
            <w:pPr>
              <w:spacing w:after="0"/>
              <w:rPr>
                <w:sz w:val="17"/>
                <w:szCs w:val="17"/>
                <w:color w:val="auto"/>
              </w:rPr>
            </w:pP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GAAP)</w:t>
            </w:r>
          </w:p>
        </w:tc>
        <w:tc>
          <w:tcPr>
            <w:tcW w:w="100" w:type="dxa"/>
            <w:vAlign w:val="bottom"/>
          </w:tcPr>
          <w:p>
            <w:pPr>
              <w:spacing w:after="0"/>
              <w:rPr>
                <w:sz w:val="17"/>
                <w:szCs w:val="17"/>
                <w:color w:val="auto"/>
              </w:rPr>
            </w:pPr>
          </w:p>
        </w:tc>
        <w:tc>
          <w:tcPr>
            <w:tcW w:w="10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GAAP)</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307,240</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307,727</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307,727</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95"/>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East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103,102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103,256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103,256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Southeast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92,212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92,212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92,212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6"/>
        </w:trPr>
        <w:tc>
          <w:tcPr>
            <w:tcW w:w="150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Corporate &amp;</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(64,434)</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(64,434)</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68,489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4,055</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500" w:type="dxa"/>
            <w:vAlign w:val="bottom"/>
            <w:tcBorders>
              <w:bottom w:val="single" w:sz="8" w:color="CCEEFF"/>
            </w:tcBorders>
          </w:tcPr>
          <w:p>
            <w:pPr>
              <w:ind w:left="20"/>
              <w:spacing w:after="0" w:line="201" w:lineRule="exact"/>
              <w:rPr>
                <w:sz w:val="20"/>
                <w:szCs w:val="20"/>
                <w:color w:val="auto"/>
              </w:rPr>
            </w:pPr>
            <w:r>
              <w:rPr>
                <w:rFonts w:ascii="Times New Roman" w:cs="Times New Roman" w:eastAsia="Times New Roman" w:hAnsi="Times New Roman"/>
                <w:sz w:val="14"/>
                <w:szCs w:val="14"/>
                <w:color w:val="auto"/>
              </w:rPr>
              <w:t>unallocated</w:t>
            </w:r>
            <w:r>
              <w:rPr>
                <w:rFonts w:ascii="Times New Roman" w:cs="Times New Roman" w:eastAsia="Times New Roman" w:hAnsi="Times New Roman"/>
                <w:sz w:val="18"/>
                <w:szCs w:val="18"/>
                <w:color w:val="auto"/>
                <w:vertAlign w:val="superscript"/>
              </w:rPr>
              <w:t>(a)</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homebuilding</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438,120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438,761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68,489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507,250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180" w:right="700" w:hanging="172"/>
        <w:spacing w:after="0" w:line="235" w:lineRule="auto"/>
        <w:tabs>
          <w:tab w:leader="none" w:pos="192"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and unallocated includes amortization of capitalized interest, capitalization and amortization of indirect costs related to homebuilding activities, as well as capitalized interest and capitalized indirect costs impaired in order to reflect projects in progress assets at fair value, when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18"/>
          <w:szCs w:val="18"/>
          <w:color w:val="auto"/>
        </w:rPr>
        <w:t>Our homebuilding gross profit decreased by $84.2 million to $329.4 million for the fiscal year ended September 30, 2025, compared to $413.6 million in the prior year. The decrease in homebuilding gross profit was primarily driven by a decrease in gross margin of 370 basis points to 14.3%, partially offset by an increase in homebuilding revenue of $9.6 million. However, as shown in the tables above, the comparability of our gross profit and gross margin was impacted by impairments and abandonment charges which increased by $8.2 million and interest amortized to homebuilding cost of sales which increased by $6.1 million year-over-year (refer to Note 4 and Note 5 of the notes to the consolidated financial statements in this Form 10-K for additional details). When excluding the impact of impairments and abandonment charges and interest amortized to homebuilding cost of sales, homebuilding gross profit decreased by $69.9 million compared to the prior year while homebuilding gross margin decreased by 310 basis points to 18.0%. The year-over-year decrease in gross margin for the fiscal year ended September 30, 2025 was primarily driven by an increase in price concessions and incentives, such as mortgage rate buydowns, an increased share of spec home closings which generally have lower margins than "to be built" homes, and changes in product and community mix.</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West Segment: </w:t>
      </w:r>
      <w:r>
        <w:rPr>
          <w:rFonts w:ascii="Times New Roman" w:cs="Times New Roman" w:eastAsia="Times New Roman" w:hAnsi="Times New Roman"/>
          <w:sz w:val="18"/>
          <w:szCs w:val="18"/>
          <w:color w:val="auto"/>
        </w:rPr>
        <w:t>Compared to the prior fiscal year, homebuilding gross profit decreased by $51.0 million due to lower gross margin and a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homebuilding revenue. Homebuilding gross margin, excluding impairments and abandonments, decreased to 18.2%, down from 21.3% in the prior year. The decrease in gross margin was primarily driven by an increase in price concessions and incentives, an increased share of spec home closings which generally have lower margins than "to be built" homes, and changes in product and community mix.</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East Segment: </w:t>
      </w:r>
      <w:r>
        <w:rPr>
          <w:rFonts w:ascii="Times New Roman" w:cs="Times New Roman" w:eastAsia="Times New Roman" w:hAnsi="Times New Roman"/>
          <w:sz w:val="18"/>
          <w:szCs w:val="18"/>
          <w:color w:val="auto"/>
        </w:rPr>
        <w:t>Compared to the prior fiscal year, homebuilding gross profit increased by $10.7 million due to an increase in homebuilding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lower gross margin. Homebuilding gross margin, excluding impairments and abandonments, decreased to 17.1%, down from 18.1% in the prior year. The decrease in gross margin was primarily driven by an increase in price concessions and incentives, an increased share of spec home closings which generally have lower margins than "to be built" homes, and changes in product and community mix.</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Southeast Segment: </w:t>
      </w:r>
      <w:r>
        <w:rPr>
          <w:rFonts w:ascii="Times New Roman" w:cs="Times New Roman" w:eastAsia="Times New Roman" w:hAnsi="Times New Roman"/>
          <w:sz w:val="18"/>
          <w:szCs w:val="18"/>
          <w:color w:val="auto"/>
        </w:rPr>
        <w:t>Compared to the prior fiscal year, homebuilding gross profit decreased by $32.4 million due to a decrease in homebuilding revenue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gross margin. Homebuilding gross margin, excluding impairments and abandonments, decreased to 17.3%, down from 22.0% in the prior year. The decrease in gross margin was primarily driven by an increase in price concessions and incentives, an increased share of spec home closings which generally have lower margins than "to be built" homes, and changes in product and community mix.</w:t>
      </w:r>
    </w:p>
    <w:p>
      <w:pPr>
        <w:spacing w:after="0" w:line="1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Measures of homebuilding gross profit and gross margin after excluding inventory impairments and abandonments, interest amortized to cost of sales, and other non-recurring items are non-GAAP financial measures. These measures should not be considered alternatives to homebuilding gross profit and gross margin determined in accordance with GAAP as an indicator of operating performance.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Land Sales and Other Revenue and Gross Profit</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Land sales relate to land and lots sold that do not fit within our homebuilding programs or strategic plans. We also have other revenue related to title examinations provided for our homebuyers in certain markets. The following tables summarize our land sales and other revenue and related gross profit by reportable segment and Corporate and unallocated for the periods presented: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760" w:type="dxa"/>
            <w:vAlign w:val="bottom"/>
            <w:gridSpan w:val="2"/>
          </w:tcPr>
          <w:p>
            <w:pPr>
              <w:jc w:val="right"/>
              <w:ind w:right="3848"/>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220" w:type="dxa"/>
            <w:vAlign w:val="bottom"/>
          </w:tcPr>
          <w:p>
            <w:pPr>
              <w:spacing w:after="0"/>
              <w:rPr>
                <w:sz w:val="16"/>
                <w:szCs w:val="16"/>
                <w:color w:val="auto"/>
              </w:rPr>
            </w:pPr>
          </w:p>
        </w:tc>
        <w:tc>
          <w:tcPr>
            <w:tcW w:w="23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Land Sales and Other Revenue</w:t>
            </w:r>
          </w:p>
        </w:tc>
        <w:tc>
          <w:tcPr>
            <w:tcW w:w="12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
        </w:trPr>
        <w:tc>
          <w:tcPr>
            <w:tcW w:w="47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84"/>
        </w:trPr>
        <w:tc>
          <w:tcPr>
            <w:tcW w:w="3260" w:type="dxa"/>
            <w:vAlign w:val="bottom"/>
          </w:tcPr>
          <w:p>
            <w:pPr>
              <w:spacing w:after="0"/>
              <w:rPr>
                <w:sz w:val="15"/>
                <w:szCs w:val="15"/>
                <w:color w:val="auto"/>
              </w:rPr>
            </w:pPr>
          </w:p>
        </w:tc>
        <w:tc>
          <w:tcPr>
            <w:tcW w:w="1500" w:type="dxa"/>
            <w:vAlign w:val="bottom"/>
            <w:tcBorders>
              <w:top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2024</w:t>
            </w:r>
          </w:p>
        </w:tc>
        <w:tc>
          <w:tcPr>
            <w:tcW w:w="2360" w:type="dxa"/>
            <w:vAlign w:val="bottom"/>
            <w:tcBorders>
              <w:top w:val="single" w:sz="8" w:color="auto"/>
            </w:tcBorders>
          </w:tcPr>
          <w:p>
            <w:pPr>
              <w:jc w:val="right"/>
              <w:ind w:right="1068"/>
              <w:spacing w:after="0"/>
              <w:rPr>
                <w:sz w:val="20"/>
                <w:szCs w:val="20"/>
                <w:color w:val="auto"/>
              </w:rPr>
            </w:pPr>
            <w:r>
              <w:rPr>
                <w:rFonts w:ascii="Times New Roman" w:cs="Times New Roman" w:eastAsia="Times New Roman" w:hAnsi="Times New Roman"/>
                <w:sz w:val="14"/>
                <w:szCs w:val="14"/>
                <w:color w:val="auto"/>
              </w:rPr>
              <w:t>2023</w:t>
            </w:r>
          </w:p>
        </w:tc>
        <w:tc>
          <w:tcPr>
            <w:tcW w:w="12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25 v 24</w:t>
            </w:r>
          </w:p>
        </w:tc>
        <w:tc>
          <w:tcPr>
            <w:tcW w:w="166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24 v 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w:t>
            </w:r>
          </w:p>
        </w:tc>
        <w:tc>
          <w:tcPr>
            <w:tcW w:w="880" w:type="dxa"/>
            <w:vAlign w:val="bottom"/>
            <w:tcBorders>
              <w:top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54,051</w:t>
            </w:r>
          </w:p>
        </w:tc>
        <w:tc>
          <w:tcPr>
            <w:tcW w:w="1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18,680</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tcBorders>
              <w:top w:val="single" w:sz="8" w:color="CCEEFF"/>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189.4 %</w:t>
            </w:r>
          </w:p>
        </w:tc>
        <w:tc>
          <w:tcPr>
            <w:tcW w:w="12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277.8 %</w:t>
            </w: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9,804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17,595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644.0 %</w:t>
            </w: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Southeast</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5,070</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440.5 %</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68,925</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37,213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85.2 %</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343.8 %</w:t>
            </w:r>
          </w:p>
        </w:tc>
      </w:tr>
      <w:tr>
        <w:trPr>
          <w:trHeight w:val="21"/>
        </w:trPr>
        <w:tc>
          <w:tcPr>
            <w:tcW w:w="3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9"/>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96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Land Sales and Other Gross Profit (Loss)</w:t>
            </w:r>
          </w:p>
        </w:tc>
        <w:tc>
          <w:tcPr>
            <w:tcW w:w="1580" w:type="dxa"/>
            <w:vAlign w:val="bottom"/>
          </w:tcPr>
          <w:p>
            <w:pPr>
              <w:spacing w:after="0"/>
              <w:rPr>
                <w:sz w:val="17"/>
                <w:szCs w:val="17"/>
                <w:color w:val="auto"/>
              </w:rPr>
            </w:pPr>
          </w:p>
        </w:tc>
      </w:tr>
      <w:tr>
        <w:trPr>
          <w:trHeight w:val="23"/>
        </w:trPr>
        <w:tc>
          <w:tcPr>
            <w:tcW w:w="3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3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25 v 24</w:t>
            </w:r>
          </w:p>
        </w:tc>
        <w:tc>
          <w:tcPr>
            <w:tcW w:w="158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24 v 23</w:t>
            </w:r>
          </w:p>
        </w:tc>
      </w:tr>
      <w:tr>
        <w:trPr>
          <w:trHeight w:val="229"/>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w:t>
            </w:r>
          </w:p>
        </w:tc>
        <w:tc>
          <w:tcPr>
            <w:tcW w:w="880" w:type="dxa"/>
            <w:vAlign w:val="bottom"/>
            <w:tcBorders>
              <w:top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9,953</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124.3 %</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48.5 %</w:t>
            </w: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(61.4)%</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768.3 %</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Southeast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241.0 %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3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unallocated</w:t>
            </w:r>
            <w:r>
              <w:rPr>
                <w:rFonts w:ascii="Times New Roman" w:cs="Times New Roman" w:eastAsia="Times New Roman" w:hAnsi="Times New Roman"/>
                <w:sz w:val="23"/>
                <w:szCs w:val="23"/>
                <w:color w:val="auto"/>
                <w:vertAlign w:val="superscript"/>
              </w:rPr>
              <w:t>(a)</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(6,630)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(695.0)%</w:t>
            </w:r>
          </w:p>
        </w:tc>
        <w:tc>
          <w:tcPr>
            <w:tcW w:w="120" w:type="dxa"/>
            <w:vAlign w:val="bottom"/>
          </w:tcPr>
          <w:p>
            <w:pPr>
              <w:spacing w:after="0"/>
              <w:rPr>
                <w:sz w:val="19"/>
                <w:szCs w:val="19"/>
                <w:color w:val="auto"/>
              </w:rPr>
            </w:pPr>
          </w:p>
        </w:tc>
        <w:tc>
          <w:tcPr>
            <w:tcW w:w="158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n/m</w:t>
            </w:r>
            <w:r>
              <w:rPr>
                <w:rFonts w:ascii="Times New Roman" w:cs="Times New Roman" w:eastAsia="Times New Roman" w:hAnsi="Times New Roman"/>
                <w:sz w:val="23"/>
                <w:szCs w:val="23"/>
                <w:color w:val="auto"/>
                <w:vertAlign w:val="superscript"/>
              </w:rPr>
              <w:t>(b)</w:t>
            </w:r>
          </w:p>
        </w:tc>
      </w:tr>
      <w:tr>
        <w:trPr>
          <w:trHeight w:val="248"/>
        </w:trPr>
        <w:tc>
          <w:tcPr>
            <w:tcW w:w="32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10,683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80" w:hanging="172"/>
        <w:spacing w:after="0" w:line="242" w:lineRule="auto"/>
        <w:tabs>
          <w:tab w:leader="none" w:pos="177"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Corporate and unallocated includes capitalized interest and capitalized indirect costs expensed to land cost of sales related to land and lots sold, as well as capitalized interest and capitalized indirect costs impaired in order to reflect land held for sale assets at fair value less cost to sell.</w:t>
      </w:r>
    </w:p>
    <w:p>
      <w:pPr>
        <w:spacing w:after="0" w:line="69"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n/m - indicates the percentage is "not meaningful."</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 ended September 30, 2025, land sales and other revenue increased by 85.2% to $68.9 million, and land sales and other gross profit decreased by 23.8% to $8.1 million compared to the prior year.</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fiscal year ended September 30, 2025, our reviews of various communities led to a decision to sell certain lots that no longer aligned with our strategic plans. As a result of changes in strategy, we reclassified 131 lots from projects in progress to land held for sale and recognized a land held for sale impairment charge of $2.7 million during the fiscal year ended September 30, 2025 related to communities in our Phoenix, San Antonio, and Houston markets. No land held for sale impairment charges were recognized during the fiscal year ended September 30, 2024. Refer to Note 4 of the notes to the condensed consolidated financial statements included in this Form 10-K for further discussion.</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Year-over-year fluctuations in land sales and other revenue are primarily driven by the timing and volume of land and lot sales closings. As we continue to proactively manage our land position and divest land assets that no longer align with our strategic priorities, the dollar value of land sales and other revenue may grow. Land sales and other gross profit are primarily impacted by the profitability of individual land and lot sale transactions as well as the volume of our title examinations operations. Future land and lot sales will depend on a variety of factors, including local market conditions, individual community performance, and changing strategic plans.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operating income by reportable segment and Corporate and unallocated for the periods presented:</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25 v 24</w:t>
            </w:r>
          </w:p>
        </w:tc>
        <w:tc>
          <w:tcPr>
            <w:tcW w:w="300" w:type="dxa"/>
            <w:vAlign w:val="bottom"/>
          </w:tcPr>
          <w:p>
            <w:pPr>
              <w:spacing w:after="0"/>
              <w:rPr>
                <w:sz w:val="2"/>
                <w:szCs w:val="2"/>
                <w:color w:val="auto"/>
              </w:rPr>
            </w:pPr>
          </w:p>
        </w:tc>
        <w:tc>
          <w:tcPr>
            <w:tcW w:w="116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color w:val="auto"/>
              </w:rPr>
              <w:t>24 v 23</w:t>
            </w:r>
          </w:p>
        </w:tc>
        <w:tc>
          <w:tcPr>
            <w:tcW w:w="0" w:type="dxa"/>
            <w:vAlign w:val="bottom"/>
          </w:tcPr>
          <w:p>
            <w:pPr>
              <w:spacing w:after="0"/>
              <w:rPr>
                <w:sz w:val="1"/>
                <w:szCs w:val="1"/>
                <w:color w:val="auto"/>
              </w:rPr>
            </w:pPr>
          </w:p>
        </w:tc>
      </w:tr>
      <w:tr>
        <w:trPr>
          <w:trHeight w:val="190"/>
        </w:trPr>
        <w:tc>
          <w:tcPr>
            <w:tcW w:w="34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493"/>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142,514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189,739</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(47,225)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54,655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(12,123)</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Southeast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(11,660)</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Unallocated</w:t>
            </w:r>
            <w:r>
              <w:rPr>
                <w:rFonts w:ascii="Times New Roman" w:cs="Times New Roman" w:eastAsia="Times New Roman" w:hAnsi="Times New Roman"/>
                <w:sz w:val="23"/>
                <w:szCs w:val="23"/>
                <w:color w:val="auto"/>
                <w:vertAlign w:val="superscript"/>
              </w:rPr>
              <w:t>(a)</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(175,747)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(145,277)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(150,944)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(106,421)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(34,227)</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80" w:right="100" w:hanging="172"/>
        <w:spacing w:after="0" w:line="255" w:lineRule="auto"/>
        <w:tabs>
          <w:tab w:leader="none" w:pos="177"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amortization of capitalized interest, capitalization and amortization of indirect costs, impairment of capitalized interest and capitalized indirect costs, when applicable, expenses related to numerous shared services functions that benefit all segments but are not allocated to the operating segments reported above, including information technology, treasury, corporate finance, legal, branding and national marketing, and certain other amounts that are not allocated to our operating segments.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operating income decreased by $106.4 million to $36.6 million for the year ended September 30, 2025, compared to operating income of $143.0 million for year ended September 30, 2024, primarily driven by the previously discussed decrease in gross profit, including the impact of $13.0 million inventory impairments and abandonments recognized. SG&amp;A as a percentage of total revenue increased by 50 basis points compared to the prior year, from 11.4% to 11.9%, primarily due to higher sales and marketing expenses and other G&amp;A expenses to support community count growth, partially offset by lower commissions.</w:t>
      </w:r>
    </w:p>
    <w:p>
      <w:pPr>
        <w:spacing w:after="0" w:line="1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West Segment: </w:t>
      </w:r>
      <w:r>
        <w:rPr>
          <w:rFonts w:ascii="Times New Roman" w:cs="Times New Roman" w:eastAsia="Times New Roman" w:hAnsi="Times New Roman"/>
          <w:sz w:val="18"/>
          <w:szCs w:val="18"/>
          <w:color w:val="auto"/>
        </w:rPr>
        <w:t>The $47.2 million decrease in operating income compared to the prior year was primarily due to the decrease in gross profit and higher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marketing expenses, partially offset by lower commissions on lower homebuilding revenue in the segment.</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East Segment: </w:t>
      </w:r>
      <w:r>
        <w:rPr>
          <w:rFonts w:ascii="Times New Roman" w:cs="Times New Roman" w:eastAsia="Times New Roman" w:hAnsi="Times New Roman"/>
          <w:sz w:val="18"/>
          <w:szCs w:val="18"/>
          <w:color w:val="auto"/>
        </w:rPr>
        <w:t>The $1.8 million increase in operating income compared to the prior year was primarily due to the increase in gross profit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 partially offset by higher commissions expense on higher homebuilding revenue, higher other G&amp;A expenses, and higher sales and marketing expenses in the segment.</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Southeast Segment: </w:t>
      </w:r>
      <w:r>
        <w:rPr>
          <w:rFonts w:ascii="Times New Roman" w:cs="Times New Roman" w:eastAsia="Times New Roman" w:hAnsi="Times New Roman"/>
          <w:sz w:val="18"/>
          <w:szCs w:val="18"/>
          <w:color w:val="auto"/>
        </w:rPr>
        <w:t>The $30.5 million decrease in operating income compared to the prior year was primarily due to the decrease in gross profit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 and higher other G&amp;A expenses, partially offset by lower commissions expense on lower homebuilding revenue in the segment.</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Corporate and Unallocated: </w:t>
      </w:r>
      <w:r>
        <w:rPr>
          <w:rFonts w:ascii="Times New Roman" w:cs="Times New Roman" w:eastAsia="Times New Roman" w:hAnsi="Times New Roman"/>
          <w:sz w:val="18"/>
          <w:szCs w:val="18"/>
          <w:color w:val="auto"/>
        </w:rPr>
        <w:t>Our corporate and unallocated results include amortization of capitalized interest, capitalization and amortization of indirect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impairment of capitalized interest and capitalized indirect costs, expenses for various shared services functions that benefit all segments but are not allocated, including information technology, treasury, corporate finance, legal, branding and national marketing, and certain other amounts that are not allocated to our operating segments. For the fiscal year ended September 30, 2025, corporate and unallocated net expenses increased by $30.5 million from the prior fiscal year, primarily due to higher G&amp;A expenses, higher amortization of capitalized interest and capitalized indirect costs to homebuilding and land sales cost of sales, higher depreciation and amortization expenses, and an impairment of capitalized interest and capitalized indirect costs of $2.2 million recognized during the current year compared to no such charge in the prior year.</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Below operating income, we had the following noteworthy year-over-year fluctuations for the fiscal year ended September 30, 2025 compared to the prior year. Specifically, (1) within, other income, net, we recognized a gain on sale of investment of $8.6 million during the year ended September 30, 2024 compared to no such transaction in the current year (See the "Reconciliation of Net Income (GAAP) to Adjusted EBITDA (Non-GAAP)" section above for further discussion on this transaction), (2) within other income, net, we experienced lower interest income year-over-year driven by lower interest rates on lower operating cash balances, and (3) we recorded a loss on extinguishment of debt of $0.4 million during the year ended September 30, 2024 compared to no such loss in the current period. See Note 7 of the notes to our consolidated financial statements in this Form 10-K for a further discussion of debt.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recognized income tax benefit from continuing operations of $4.7 million for the fiscal year ended September 30, 2025, compared to income tax expense from continuing operations of $18.9 million and $24.0 million for our fiscal years ended September 30, 2024 and 2023, respectively. Income tax benefit in our fiscal 2025 primarily resulted from the generation of additional federal tax credits, partially offset by the tax expense from income generated in the fiscal year and permanent book/tax differences. Income tax expense in our fiscal 2024 and 2023 primarily resulted from income generated in the fiscal year and permanent book/tax differences, partially offset by the generation of additional federal tax credits. Refer to Note 12 of the notes to the consolidated financial statements in this Form 10-K for a further discussion of our income taxes.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The OBBBA repeals many of the energy efficiency credits enacted under the Inflation Reduction Act, including our ability to claim energy efficient new home tax credits for homes that close after June 30, 2026. While this change does not impact our fiscal 2025 effective tax rate and deferred tax balances, we are evaluating the full impact of the OBBBA on our future tax provision and financial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sources of liquidity include, but are not limited to, cash from operations, proceeds from Senior Notes, our Senior Unsecured Revolving Credit Facility (the Unsecured Facility), and other bank borrowings, the issuance of equity and equity-linked securities, and other external sources of funds. Our short-term and long-term liquidity depends primarily upon our level of net income, working capital management (cash, accounts receivable, accounts payable and other liabilities), and available credit facilities.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changes in cash, cash equivalents, and restricted cash are as follows for the periods presented:</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6"/>
                <w:szCs w:val="16"/>
                <w:color w:val="auto"/>
              </w:rPr>
            </w:pPr>
          </w:p>
        </w:tc>
        <w:tc>
          <w:tcPr>
            <w:tcW w:w="12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4"/>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2023</w:t>
            </w:r>
          </w:p>
        </w:tc>
      </w:tr>
      <w:tr>
        <w:trPr>
          <w:trHeight w:val="23"/>
        </w:trPr>
        <w:tc>
          <w:tcPr>
            <w:tcW w:w="5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b w:val="1"/>
                <w:bCs w:val="1"/>
                <w:color w:val="auto"/>
              </w:rPr>
              <w:t>31,981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178,057</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spacing w:after="0"/>
              <w:rPr>
                <w:sz w:val="19"/>
                <w:szCs w:val="19"/>
                <w:color w:val="auto"/>
              </w:rPr>
            </w:pPr>
          </w:p>
        </w:tc>
        <w:tc>
          <w:tcPr>
            <w:tcW w:w="1280" w:type="dxa"/>
            <w:vAlign w:val="bottom"/>
          </w:tcPr>
          <w:p>
            <w:pPr>
              <w:jc w:val="center"/>
              <w:ind w:left="494"/>
              <w:spacing w:after="0"/>
              <w:rPr>
                <w:sz w:val="20"/>
                <w:szCs w:val="20"/>
                <w:color w:val="auto"/>
              </w:rPr>
            </w:pPr>
            <w:r>
              <w:rPr>
                <w:rFonts w:ascii="Times New Roman" w:cs="Times New Roman" w:eastAsia="Times New Roman" w:hAnsi="Times New Roman"/>
                <w:sz w:val="18"/>
                <w:szCs w:val="18"/>
                <w:b w:val="1"/>
                <w:bCs w:val="1"/>
                <w:color w:val="auto"/>
              </w:rPr>
              <w:t>(19,659)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(29,670)</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b w:val="1"/>
                <w:bCs w:val="1"/>
                <w:color w:val="auto"/>
              </w:rPr>
              <w:t>(36,361)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(13,926)</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center"/>
              <w:ind w:left="494"/>
              <w:spacing w:after="0"/>
              <w:rPr>
                <w:sz w:val="20"/>
                <w:szCs w:val="20"/>
                <w:color w:val="auto"/>
              </w:rPr>
            </w:pPr>
            <w:r>
              <w:rPr>
                <w:rFonts w:ascii="Times New Roman" w:cs="Times New Roman" w:eastAsia="Times New Roman" w:hAnsi="Times New Roman"/>
                <w:sz w:val="18"/>
                <w:szCs w:val="18"/>
                <w:b w:val="1"/>
                <w:bCs w:val="1"/>
                <w:color w:val="auto"/>
              </w:rPr>
              <w:t>(24,039)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(143,679)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134,461</w:t>
            </w:r>
          </w:p>
        </w:tc>
      </w:tr>
      <w:tr>
        <w:trPr>
          <w:trHeight w:val="21"/>
        </w:trPr>
        <w:tc>
          <w:tcPr>
            <w:tcW w:w="5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$32.0 million for the fiscal year ended September 30, 2025. The primary drivers of operating cash flows are typically cash earnings and changes in inventory levels, including land acquisition and development spending. Net cash provided by operating activities during the period was primarily driven by income before income taxes of $40.9 million, which included $30.4 million of non-cash charges and a decrease in inventory of $2.8 million, partially offset by a net increase in non-inventory working capital of $42.0 million.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$137.5 million for the fiscal year ended September 30, 2024. Net cash used in operating activities during the period was primarily driven by an increase in inventory of $282.1 million resulting from land acquisition, land development, and house construction spending to support continued growth and a net increase in non-inventory working capital of $30.2 million, partially offset by income before income taxes of $159.1 million, which included $15.7 million of non-cash charges.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fiscal year ended September 30, 2025 was $19.7 million, primarily driven by capital expenditures for model homes and information systems infrastructure and purchase of investment securities, partially offset primarily by proceeds from maturities of investment securities.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fiscal year ended September 30, 2024 was $30.0 million, primarily driven by capital expenditures for model homes and information systems infrastructure and purchases of investment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$36.4 million for the fiscal year ended September 30, 2025, primarily driven by repurchases of common stock and tax payments for stock-based compensation awards vesting.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0" w:name="page41"/>
    <w:bookmarkEnd w:id="40"/>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$23.9 million for the fiscal year ended September 30, 2024, primarily driven by inflows from the issuance of the 2031 Notes, partially offset by outflows from redemption of our 2025 Notes, debt issuance costs related to the 2031 Notes and extension of the term of our Unsecured Facility (see Note 7), repurchases of common stock, and tax payments for stock-based compensation awards vesting.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our liquidity position consisted of $214.7 million in cash and cash equivalents and $323.6 million of remaining capacity under the Unsecured Facility, compared to $203.9 million in cash and cash equivalents and $300.0 million of remaining capacity under the Unsecured Facility as of September 30, 2024.</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believe we possess sufficient liquidity, we are mindful of potential short-term or seasonal requirements for enhanced liquidity that may arise to operate and grow our business. As of the date of this report, we believe we have adequate capital resources and sufficient access to external financing sources to satisfy our current and long-term liquidity needs for funds to conduct our operations and meet other needs in the ordinary course of our business, however, we are continually reviewing our capital resources to determine whether we can meet our short- and long-term goals, and we may require additional capital to do so.</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times, we may also engage in capital markets, bank loans, project debt or other financial transactions, including the repurchase of debt or potential new issuances of debt or equity securities to support our business needs. The amounts involved in these transactions, if any, may be material. In addition, as necessary or desirable, we may adjust or amend the terms of and/or expand the capacity of the Unsecured Facility, or enter into additional letter of credit facilities, or other similar facility arrangements, in each case with the same or other financial institutions, or allow any such facilities to mature or expire.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fulfill our short-term cash requirements with cash generated from our operations and available borrowings. Additionally, our Unsecured Facility provides working capital and letter of credit capacity of $365.0 million, which includes a letter of credit capacity of $100.0 million. As of September 30, 2025, no borrowings and $41.4 million letters of credit were outstanding under the Unsecured Facility, resulting in a remaining borrowing capacity of $323.6 million. See Note 7 of the notes to the consolidated financial statements in this Form 10-K for further discussion.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future, we may from time to time seek to continue to retire or purchase our outstanding debt through cash repurchases or in exchange for other debt securities, in open market purchases, privately negotiated transactions, or otherwise. In addition, any material variance from our projected operating results could require us to obtain additional equity or debt financing. There can be no assurance that we will be able to complete any of these transactions in the future on favorable terms or at all. See Note 7 of the notes to the consolidated financial statements in this Form 10-K for additional details related to our borrowings.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Information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in Note 7 of the notes to the consolidated financial statements in this Form 10-K, the Company's obligations to pay principal and interest under certain debt agreements are guaranteed on a joint and several basis by substantially all of the Company's subsidiaries. Some of the immaterial subsidiaries do not guarantee the Senior Notes. The guarantees are full and unconditional. Summarized financial information is not presented for Beazer Homes USA, Inc. and the guarantor subsidiaries on a combined basis as the assets, liabilities and results of operations of the combined issuer and guarantors of the guaranteed security are not materially different than corresponding amounts presented in the consolidated financial statements of the parent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credit ratings are periodically reviewed by rating agencies. In November 2025, S&amp;P revised the Company’s corporate credit rating from B+ to B and revised the Company's outlook from negative to stable. In September 2025, Moody's reaffirmed the Company's issuer corporate family rating of B1 and reaffirmed the Company's outlook of stable. In addition, our Senior Notes have a rating of B and B1 per S&amp;P and Moody's, respectively. These ratings and our current credit condition affect, among other things, our ability to access new capital. These ratings are not recommendations to buy, sell or hold debt securities. Negative changes to these ratings may result in more stringent covenants and higher interest rates under the terms of any new debt. Our credit ratings could be lowered, or rating agencies could issue adverse commentaries in the future, which could have a material adverse effect on our business, financial condition, results of operations, and liquidity. In particular, a weakening of our financial condition, including any further increase in our leverage or decrease in our profitability or cash flows, could adversely affect our ability to obtain necessary funds, could result in a credit rating downgrade or change in outlook, or could otherwise increase our cost of borrowing.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Stock Repurchases and Dividends Paid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2025, the Company's Board of Directors approved a new share repurchase program that authorizes the Company to repurchase up to $100.0 million of its outstanding common stock. The newly authorized program replaced the prior share repurchase program authorized in May 2022 of up to $50.0 million of common stock repurchases, pursuant to which $8.3 million of the capacity remained prior to the replacement of the program. Under our share repurchase programs, the Company repurchased 1.5 million shares of its common stock for $33.1 million at an average price per share of $22.20 during the fiscal year ended September 30, 2025 through open market transactions. All shares have been retired upon repurchase. The aggregate reduction to stockholders' equity related to share repurchases during the fiscal year ended September 30, 2025 was $33.1 million. As of September 30, 2025, the remaining availability of the share repurchase program was $87.5 million.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September 30, 2024, the Company repurchased 455 thousand shares of its common stock for $12.9 million at an average price per share of $28.41 through open market transactions. The aggregate reduction to stockholders’ equity related to share repurchases during the fiscal year ended September 30, 2024 was $12.9 million.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under which our Senior Notes were issued contain certain restrictive covenants, including limitations on our payment of dividends. There were no dividends paid during our fiscal years ended September 30, 2025, 2024 or 2023.</w:t>
      </w:r>
    </w:p>
    <w:p>
      <w:pPr>
        <w:spacing w:after="0" w:line="104" w:lineRule="exact"/>
        <w:rPr>
          <w:sz w:val="20"/>
          <w:szCs w:val="20"/>
          <w:color w:val="auto"/>
        </w:rPr>
      </w:pPr>
    </w:p>
    <w:p>
      <w:pPr>
        <w:ind w:right="540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Off-Balance Sheet Arrangements and Aggregate Contractual Commitments </w:t>
      </w:r>
      <w:r>
        <w:rPr>
          <w:rFonts w:ascii="Times New Roman" w:cs="Times New Roman" w:eastAsia="Times New Roman" w:hAnsi="Times New Roman"/>
          <w:sz w:val="18"/>
          <w:szCs w:val="18"/>
          <w:i w:val="1"/>
          <w:iCs w:val="1"/>
          <w:color w:val="auto"/>
        </w:rPr>
        <w:t>Lot Option Agreements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purchasing land directly, we control a portion of our land supply through lot option agreements with land developers and land bankers, which generally require the payment of cash or issuance of an irrevocable letter of credit or surety bond for the right to acquire lots during a specified period of time at a specified price. In recent years, we have focused on increasing our lot option agreement usage to minimize risk as we grow our land position. As of September 30, 2025, we controlled 25,660 lots, which includes 251 lots of land held for future development and 651 lots of land held for sale. Of the 24,758 total active lots, we controlled 15,373 of these lots, or 62.1%, through option agreements, as compared to 16,125 active lots controlled, or 57.8% of our total active lots, through option agreements as of September 30, 2024. Lot option agreements allow us to position for future growth while providing the flexibility to respond to market conditions by renegotiating the terms of the options prior to exercise or terminating the agreement.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option agreements, purchase of the properties is contingent upon satisfaction of certain requirements by us and the sellers, and our liability is generally limited to forfeiture of the non-refundable deposits, letters of credit or surety bonds, and other non-refundable amounts incurred, which totaled $333.4 million as of September 30, 2025. The total remaining purchase price, net of cash deposits, committed under all options was $1.61 billion as of September 30, 2025. Subject to market conditions and our liquidity, we may further expand our use of option agreements to supplement our owned inventory supply.</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exercise, subject to market conditions and seller satisfaction of contract terms, most of our option agreements. Various factors, some of which are beyond our control, such as market conditions, weather conditions, and the timing of the completion of development activities, will have a significant impact on the timing of option exercises or whether lot options will be exercised at all.</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historically funded the exercise of lot options with operating cash flows. We expect these sources to continue to be adequate to fund anticipated future option exercises. Therefore, we do not anticipate that the exercise of our lot options will have a material adverse effect on our liquidity.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 and Surety Bonds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development of our communities, we are frequently required to provide performance, maintenance, and other bonds and letters of credit in support of our related obligations with respect to such developments. The amount of such obligations outstanding at any time varies in accordance with our pending development activities. In the event any such bonds or letters of credit are drawn upon, we would be obligated to reimburse the issuer of such bonds or letters of credit. We had outstanding letters of credit and surety bonds of $41.4 million and $321.9 million, respectively, as of September 30, 2025, primarily related to our obligations to local governments to construct roads and other improvements in various developments.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Contractual Commitments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aggregate contractual commitments as of September 30, 2025:</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4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20" w:type="dxa"/>
            <w:vAlign w:val="bottom"/>
          </w:tcPr>
          <w:p>
            <w:pPr>
              <w:spacing w:after="0"/>
              <w:rPr>
                <w:sz w:val="16"/>
                <w:szCs w:val="16"/>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More than 5 Years</w:t>
            </w:r>
          </w:p>
        </w:tc>
        <w:tc>
          <w:tcPr>
            <w:tcW w:w="0" w:type="dxa"/>
            <w:vAlign w:val="bottom"/>
          </w:tcPr>
          <w:p>
            <w:pPr>
              <w:spacing w:after="0"/>
              <w:rPr>
                <w:sz w:val="1"/>
                <w:szCs w:val="1"/>
                <w:color w:val="auto"/>
              </w:rPr>
            </w:pPr>
          </w:p>
        </w:tc>
      </w:tr>
      <w:tr>
        <w:trPr>
          <w:trHeight w:val="229"/>
        </w:trPr>
        <w:tc>
          <w:tcPr>
            <w:tcW w:w="386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Senior notes and junior subordinated notes</w:t>
            </w:r>
            <w:r>
              <w:rPr>
                <w:rFonts w:ascii="Times New Roman" w:cs="Times New Roman" w:eastAsia="Times New Roman" w:hAnsi="Times New Roman"/>
                <w:sz w:val="23"/>
                <w:szCs w:val="23"/>
                <w:color w:val="auto"/>
                <w:vertAlign w:val="superscript"/>
              </w:rPr>
              <w:t>(a)</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1,058,028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357,255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350,773</w:t>
            </w:r>
          </w:p>
        </w:tc>
        <w:tc>
          <w:tcPr>
            <w:tcW w:w="0" w:type="dxa"/>
            <w:vAlign w:val="bottom"/>
          </w:tcPr>
          <w:p>
            <w:pPr>
              <w:spacing w:after="0"/>
              <w:rPr>
                <w:sz w:val="1"/>
                <w:szCs w:val="1"/>
                <w:color w:val="auto"/>
              </w:rPr>
            </w:pPr>
          </w:p>
        </w:tc>
      </w:tr>
      <w:tr>
        <w:trPr>
          <w:trHeight w:val="176"/>
        </w:trPr>
        <w:tc>
          <w:tcPr>
            <w:tcW w:w="3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commitments under senior notes and junior</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subordinated notes</w:t>
            </w:r>
            <w:r>
              <w:rPr>
                <w:rFonts w:ascii="Times New Roman" w:cs="Times New Roman" w:eastAsia="Times New Roman" w:hAnsi="Times New Roman"/>
                <w:sz w:val="23"/>
                <w:szCs w:val="23"/>
                <w:color w:val="auto"/>
                <w:vertAlign w:val="superscript"/>
              </w:rPr>
              <w:t>(b)</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85,369</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related to lots under option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1,610,171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19,609</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Uncertain tax positions</w:t>
            </w:r>
            <w:r>
              <w:rPr>
                <w:rFonts w:ascii="Times New Roman" w:cs="Times New Roman" w:eastAsia="Times New Roman" w:hAnsi="Times New Roman"/>
                <w:sz w:val="23"/>
                <w:szCs w:val="23"/>
                <w:color w:val="auto"/>
                <w:vertAlign w:val="superscript"/>
              </w:rPr>
              <w:t>(c)</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3,098,968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720,923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1,230,614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686,127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461,304</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0" w:hanging="152"/>
        <w:spacing w:after="0"/>
        <w:tabs>
          <w:tab w:leader="none" w:pos="160"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For a listing of our borrowings, refer to Note 7 of the notes to the consolidated financial statements in this Form 10-K.</w:t>
      </w:r>
    </w:p>
    <w:p>
      <w:pPr>
        <w:spacing w:after="0" w:line="75" w:lineRule="exact"/>
        <w:rPr>
          <w:rFonts w:ascii="Times New Roman" w:cs="Times New Roman" w:eastAsia="Times New Roman" w:hAnsi="Times New Roman"/>
          <w:sz w:val="20"/>
          <w:szCs w:val="20"/>
          <w:color w:val="auto"/>
          <w:vertAlign w:val="superscript"/>
        </w:rPr>
      </w:pPr>
    </w:p>
    <w:p>
      <w:pPr>
        <w:ind w:left="180" w:hanging="172"/>
        <w:spacing w:after="0"/>
        <w:tabs>
          <w:tab w:leader="none" w:pos="18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Interest on variable rate obligations is based on rates effective as of September 30, 2025.</w:t>
      </w:r>
    </w:p>
    <w:p>
      <w:pPr>
        <w:spacing w:after="0" w:line="89" w:lineRule="exact"/>
        <w:rPr>
          <w:rFonts w:ascii="Times New Roman" w:cs="Times New Roman" w:eastAsia="Times New Roman" w:hAnsi="Times New Roman"/>
          <w:sz w:val="22"/>
          <w:szCs w:val="22"/>
          <w:color w:val="auto"/>
          <w:vertAlign w:val="superscript"/>
        </w:rPr>
      </w:pPr>
    </w:p>
    <w:p>
      <w:pPr>
        <w:jc w:val="both"/>
        <w:ind w:left="180" w:hanging="172"/>
        <w:spacing w:after="0" w:line="235" w:lineRule="auto"/>
        <w:tabs>
          <w:tab w:leader="none" w:pos="194"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its current inventory of uncertain tax positions and tax carryforward attributes, the Company does not expect a cash settlement of unrecognized tax benefits related to uncertain tax positions in future years. See Note 12 of the notes to the consolidated financial statements in this Form 10-K for additional information regarding the Company's unrecognized tax benefits related to uncertain tax positions as of September 30, 2025.</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outstanding letters of credit and surety bonds of $41.4 million and $321.9 million, respectively, as of September 30, 2025, primarily related to our obligations to local governments to construct roads and other improvements in various developments.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require the use of judgment in their application and in certain cases require estimates of inherently uncertain matters. Although our accounting policies are in compliance with accounting principles generally accepted in the United States of America (GAAP), a change in the facts and circumstances of the underlying transactions could significantly change the application of the accounting policies and the resulting financial statement impact. Listed below are those policies that we believe are critical and require the use of complex judgment in their application.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 - Projects in Progress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Projects in progress inventory includes homes under construction and land under development grouped together as communities. Generally, upon the commencement of land development activities, it may take three to five years (depending on, among other things, the size of the community and its sales pace) to fully develop, sell, construct and close all the homes in a typical community. Projects in progress are stated at cost unless facts and circumstances indicate that the carrying value of the assets may not be recoverable.</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our projects in progress inventory for indicators of impairment at the community level on a quarterly basis. We evaluate, among other things, the average sales price and margins on recent home closings, homes in backlog and expected future home sales for each community. If indicators of impairment are present for a community with more than ten homes remaining to close, we perform a recoverability test by comparing the expected undiscounted cash flows for the community to its carrying value. For those communities whose carrying values exceed the aggregate undiscounted cash flows, we perform a discounted cash flow analysis to determine the fair value of the community, and impairment charges are recorded if the fair value of the community's inventory is less than its carrying value.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3" w:name="page44"/>
    <w:bookmarkEnd w:id="43"/>
    <w:p>
      <w:pPr>
        <w:jc w:val="both"/>
        <w:spacing w:after="0" w:line="254" w:lineRule="auto"/>
        <w:rPr>
          <w:sz w:val="20"/>
          <w:szCs w:val="20"/>
          <w:color w:val="auto"/>
        </w:rPr>
      </w:pPr>
      <w:r>
        <w:rPr>
          <w:rFonts w:ascii="Times New Roman" w:cs="Times New Roman" w:eastAsia="Times New Roman" w:hAnsi="Times New Roman"/>
          <w:sz w:val="18"/>
          <w:szCs w:val="18"/>
          <w:color w:val="auto"/>
        </w:rPr>
        <w:t>There is uncertainty associated with preparing the undiscounted cash flow analyses because future market conditions will almost certainly be different, either better or worse, than current conditions. Significant valuation assumptions include expected pace of closings, average sales price, expected costs for land development, direct construction, overhead, and interest. The risk of over or under-stating any of the important cash flow variables is greater with longer-lived communities and within markets that have historically experienced greater home price volatility. To address these risks, we consider home price and construction cost appreciation in future years for certain communities that are expected to be selling for more than a year and/or if the market has typically exhibited high levels of price volatility. Absent these assumptions on cost and sales price appreciation, we believe the long-term cash flow analysis would be unrealistic. Finally, we also ensure that the pace of sales and closings used in our undiscounted cash flow analyses are reasonable by considering seasonal variations in sales and closings, our development schedules and what we have achieved historically, and by comparing them to those achieved by our competitors for comparable communities.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the community is estimated based on the present value of the estimated future cash flows using discount rates commensurate with the risk associated with the underlying community. The discount rate used may be different for each community. The factors considered when determining an appropriate discount rate for a community include, among others: (1) community specific factors such as product types, development stage and expected duration of the project, and the competitive factors influencing the sales performance of the community and (2) local market factors such as employment levels, consumer confidence and the existing supply of new and used homes for sale. The assumptions used in the determination of fair value of projects in progress communities are based on factors known to us at the time such estimates are made and our expectations of future operations and market conditions. Due to uncertainties in the estimation process, the significant volatility in market conditions, the long life cycles of many communities, and potential changes in our strategy related to certain communities, actual results could differ significantly from our estimates.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Reserves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adequacy of our warranty reserves is based on historical experience and management's estimate of the costs to remediate any claims. Our review includes a quarterly analysis of the historical data and trends in warranty expense by division. An analysis by division allows us to consider market specific factors such as our warranty experience, the number of home closings, the prices of homes, product mix, and other data in estimating our warranty reserves. In addition, our analysis also factors in the existence of any non-recurring or community-specific warranty matters that might not be contemplated in our historical data and trends that may need to be separately estimated based on management's judgment of the ultimate cost of repair for that specific issue.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2025, our warranty reserve was $13.6 million, reflecting an accrual range of 0.3% to 0.9% of total revenue recognized for each home closed depending on our loss history in the division in which the home was built. A ten basis point increase in our warranty reserve rate would have increased our accrual and corresponding cost of sales by $2.6 million as of September 30,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in assumptions in calculating our reserve balance for the year ended September 30, 2025.</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estimation process is discussed in Note 8 of notes to the consolidated financial statements in this Form 10-K. While we believe that our current warranty reserves are adequate, there can be no assurances that historical data and trends will accurately predict our actual warranty costs or that future developments might not lead to a significant change in the reserve.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 Valuation Allowance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carrying amounts of deferred tax assets are reduced by a valuation allowance if an assessment of their components indicates that it is more likely than not that all or some portion of these assets will not be realized. Judgment is required in estimating valuation allowances for deferred tax assets. The realization of a deferred tax asset ultimately depends on the existence of sufficient taxable income in either the carryback or carryforward periods under tax law. We assess the need for valuation allowances for deferred tax assets based on more-likely-than-not realization threshold criteria. In our assessment, appropriate consideration is given to all positive and negative evidence related to the realization of the deferred tax assets. This assessment considers, among other matters, the nature, frequency and severity of any current and cumulative losses, forecasts of future profitability, the duration of statutory carryforward periods, our experience with operating loss and tax credit carryforwards not expiring unused, the Section 382 and Section 383 limitation on our ability to carryforward pre-ownership change net operating losses, tax credits and certain built-in losses or deductions, and tax planning alternatives.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18"/>
          <w:szCs w:val="18"/>
          <w:color w:val="auto"/>
        </w:rPr>
        <w:t>Our assessment of the need for the valuation of deferred tax assets includes assessing the likely future tax consequences of events that have been recognized in our financial statements or tax returns. We base our estimate of deferred tax assets and liabilities on current tax laws and rates and, in certain cases, business plans and other expectations about future outcomes. Changes in existing tax laws or rates could affect actual tax results and future business results may affect the amount of deferred tax liabilities or the valuation of deferred tax assets over time. Our analysis includes several scenarios with both increases and decreases in our estimates of operating income across future periods. Routine or cyclical reductions in our pre-tax earnings would not have changed our assessment of our ability to utilize various tax carryforwards. In addition to various company-specific factors, we consider several positive and negative external factors that may impact our estimates. These factors may include broad economic considerations such as mortgage interest rates, the relative health of the U.S. economy and employment levels, as well as industry or market specific factors such as housing supply and demand outlook.</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2025, our conclusions about our ability to more likely than not realize all of our federal and certain state tax attributes remain consistent with our prior determinations. We considered positive factors including our sustained tax profitability, interest savings from our debt reduction strategies, shortage in housing supply, and our backlog. The negative factors included the overall health of the broader economy, elevated mortgage interest rates, and softening housing demand due to affordability challenges.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accounting for deferred tax consequences represents our best estimate of future events. It is possible there will be changes that are not anticipated in our current estimates. If those changes resulted in significant and sustained reductions in our pre-tax earnings or our utilization of existing tax carryforwards, it is likely such changes would have a material impact on our financial condition or results of operations. The nature and amounts of the various tax attributes comprising our deferred tax assets are discussed in Note 12 of notes to the consolidated financial statements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a number of market risks in the ordinary course of business. Our primary market risk exposure relates to fluctuations in interest rates. We do not believe that our exposure in this area is material to our cash flows or results of operations. As of September 30, 2025, we had variable rate debt outstanding, totaling $78.5 million. A one percent increase in the interest rate for these notes would result in an increase in our interest expense of approximately $1.0 million over the next twelve-month period. The estimated fair value of our fixed rate debt as of September 30, 2025 was $968.6 million, compared to a carrying amount of $950.6 million. The effect of a hypothetical one-percentage point decrease in our estimated discount rates would increase the estimated fair value of the fixed rate debt instruments from $968.6 million to $999.7 million as of September 30, 2025.</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BEAZER HOMES USA,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24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36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5"/>
        </w:trPr>
        <w:tc>
          <w:tcPr>
            <w:tcW w:w="79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14"/>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214,705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203,907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38,703</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of $266 and $284, respectively)</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78,145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inventory</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2,029,433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2,040,640</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142,647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128,525</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38,628</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45,969</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2,609,708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2,591,527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143,481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164,389</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19,778</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160,445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149,900</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debt (net of debt issuance costs of $6,611 and $8,310, respectively)</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1,029,114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1,025,349</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1,360,802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1,359,416</w:t>
            </w:r>
          </w:p>
        </w:tc>
        <w:tc>
          <w:tcPr>
            <w:tcW w:w="0" w:type="dxa"/>
            <w:vAlign w:val="bottom"/>
          </w:tcPr>
          <w:p>
            <w:pPr>
              <w:spacing w:after="0"/>
              <w:rPr>
                <w:sz w:val="1"/>
                <w:szCs w:val="1"/>
                <w:color w:val="auto"/>
              </w:rPr>
            </w:pP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 no shares issued)</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7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(par value $0.001 per share, 63,000,000 shares authorized, 29,762,293 issued and</w:t>
            </w:r>
          </w:p>
        </w:tc>
        <w:tc>
          <w:tcPr>
            <w:tcW w:w="24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and 31,047,510 issued and outstanding, respectively)</w:t>
            </w:r>
          </w:p>
        </w:tc>
        <w:tc>
          <w:tcPr>
            <w:tcW w:w="24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825,103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853,895</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423,773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378,185</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1,248,906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1,232,111</w:t>
            </w:r>
          </w:p>
        </w:tc>
        <w:tc>
          <w:tcPr>
            <w:tcW w:w="0" w:type="dxa"/>
            <w:vAlign w:val="bottom"/>
          </w:tcPr>
          <w:p>
            <w:pPr>
              <w:spacing w:after="0"/>
              <w:rPr>
                <w:sz w:val="1"/>
                <w:szCs w:val="1"/>
                <w:color w:val="auto"/>
              </w:rPr>
            </w:pPr>
          </w:p>
        </w:tc>
      </w:tr>
      <w:tr>
        <w:trPr>
          <w:trHeight w:val="223"/>
        </w:trPr>
        <w:tc>
          <w:tcPr>
            <w:tcW w:w="7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2,609,708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2,591,527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BEAZER HOMES USA,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8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2,371,555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2,330,197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2,206,785</w:t>
            </w: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construction and land sales expenses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2,021,082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1,903,907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1,763,449</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impairments and abandonments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12,959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23"/>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337,514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442,695</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76,911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73,450</w:t>
            </w: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204,830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179,794</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19,168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0" w:type="dxa"/>
            <w:vAlign w:val="bottom"/>
          </w:tcPr>
          <w:p>
            <w:pPr>
              <w:spacing w:after="0"/>
              <w:rPr>
                <w:sz w:val="1"/>
                <w:szCs w:val="1"/>
                <w:color w:val="auto"/>
              </w:rPr>
            </w:pPr>
          </w:p>
        </w:tc>
      </w:tr>
      <w:tr>
        <w:trPr>
          <w:trHeight w:val="223"/>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177,253</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182,646</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expense from income taxes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23,958</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158,688</w:t>
            </w: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4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8"/>
        </w:trPr>
        <w:tc>
          <w:tcPr>
            <w:tcW w:w="61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158,611</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30,353</w:t>
            </w:r>
          </w:p>
        </w:tc>
        <w:tc>
          <w:tcPr>
            <w:tcW w:w="0" w:type="dxa"/>
            <w:vAlign w:val="bottom"/>
          </w:tcPr>
          <w:p>
            <w:pPr>
              <w:spacing w:after="0"/>
              <w:rPr>
                <w:sz w:val="1"/>
                <w:szCs w:val="1"/>
                <w:color w:val="auto"/>
              </w:rPr>
            </w:pPr>
          </w:p>
        </w:tc>
      </w:tr>
      <w:tr>
        <w:trPr>
          <w:trHeight w:val="229"/>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30,747</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income per share:</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BEAZER HOMES USA,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200" w:type="dxa"/>
            <w:vAlign w:val="bottom"/>
            <w:gridSpan w:val="3"/>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260" w:type="dxa"/>
            <w:vAlign w:val="bottom"/>
          </w:tcPr>
          <w:p>
            <w:pPr>
              <w:spacing w:after="0"/>
              <w:rPr>
                <w:sz w:val="2"/>
                <w:szCs w:val="2"/>
                <w:color w:val="auto"/>
              </w:rPr>
            </w:pPr>
          </w:p>
        </w:tc>
        <w:tc>
          <w:tcPr>
            <w:tcW w:w="94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820" w:type="dxa"/>
            <w:vAlign w:val="bottom"/>
            <w:vMerge w:val="continue"/>
          </w:tcPr>
          <w:p>
            <w:pPr>
              <w:spacing w:after="0"/>
              <w:rPr>
                <w:sz w:val="16"/>
                <w:szCs w:val="16"/>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30,880</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859,856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939,286</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158,611</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 exercises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plans, net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 and other settlements of restricted stock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redeemed for tax liability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31,351</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864,778</w:t>
            </w:r>
          </w:p>
        </w:tc>
        <w:tc>
          <w:tcPr>
            <w:tcW w:w="100" w:type="dxa"/>
            <w:vAlign w:val="bottom"/>
          </w:tcPr>
          <w:p>
            <w:pPr>
              <w:spacing w:after="0"/>
              <w:rPr>
                <w:sz w:val="19"/>
                <w:szCs w:val="19"/>
                <w:color w:val="auto"/>
              </w:rPr>
            </w:pPr>
          </w:p>
        </w:tc>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238,010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1,102,819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140,175</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exercises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plans,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 and other settlements of restricted stock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redeemed for tax liability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31,048</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853,895</w:t>
            </w:r>
          </w:p>
        </w:tc>
        <w:tc>
          <w:tcPr>
            <w:tcW w:w="100" w:type="dxa"/>
            <w:vAlign w:val="bottom"/>
          </w:tcPr>
          <w:p>
            <w:pPr>
              <w:spacing w:after="0"/>
              <w:rPr>
                <w:sz w:val="19"/>
                <w:szCs w:val="19"/>
                <w:color w:val="auto"/>
              </w:rPr>
            </w:pPr>
          </w:p>
        </w:tc>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378,185</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1,232,111</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45,588</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7,338</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exercises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under employee stock plans,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 and other settlements of restricted stock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redeemed for tax liability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(3,161)</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(33,077)</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29,762</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825,103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423,773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1,248,906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BEAZER HOMES USA,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0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42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2024</w:t>
            </w: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158,611</w:t>
            </w:r>
          </w:p>
        </w:tc>
        <w:tc>
          <w:tcPr>
            <w:tcW w:w="0" w:type="dxa"/>
            <w:vAlign w:val="bottom"/>
          </w:tcPr>
          <w:p>
            <w:pPr>
              <w:spacing w:after="0"/>
              <w:rPr>
                <w:sz w:val="1"/>
                <w:szCs w:val="1"/>
                <w:color w:val="auto"/>
              </w:rPr>
            </w:pPr>
          </w:p>
        </w:tc>
      </w:tr>
      <w:tr>
        <w:trPr>
          <w:trHeight w:val="176"/>
        </w:trPr>
        <w:tc>
          <w:tcPr>
            <w:tcW w:w="64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activities: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19,168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14,867</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0" w:type="dxa"/>
            <w:vAlign w:val="bottom"/>
          </w:tcPr>
          <w:p>
            <w:pPr>
              <w:spacing w:after="0"/>
              <w:rPr>
                <w:sz w:val="1"/>
                <w:szCs w:val="1"/>
                <w:color w:val="auto"/>
              </w:rPr>
            </w:pPr>
          </w:p>
        </w:tc>
      </w:tr>
      <w:tr>
        <w:trPr>
          <w:trHeight w:val="229"/>
        </w:trPr>
        <w:tc>
          <w:tcPr>
            <w:tcW w:w="6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Inventory impairments and abandonments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30"/>
        </w:trPr>
        <w:tc>
          <w:tcPr>
            <w:tcW w:w="6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Model sale-leaseback revenue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and other income tax (benefit)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23,936</w:t>
            </w:r>
          </w:p>
        </w:tc>
        <w:tc>
          <w:tcPr>
            <w:tcW w:w="0" w:type="dxa"/>
            <w:vAlign w:val="bottom"/>
          </w:tcPr>
          <w:p>
            <w:pPr>
              <w:spacing w:after="0"/>
              <w:rPr>
                <w:sz w:val="1"/>
                <w:szCs w:val="1"/>
                <w:color w:val="auto"/>
              </w:rPr>
            </w:pPr>
          </w:p>
        </w:tc>
      </w:tr>
      <w:tr>
        <w:trPr>
          <w:trHeight w:val="229"/>
        </w:trPr>
        <w:tc>
          <w:tcPr>
            <w:tcW w:w="6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(Gain) loss on disposal of fixed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Gain on sale of investment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Decrease in income tax receivable</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0" w:type="dxa"/>
            <w:vAlign w:val="bottom"/>
          </w:tcPr>
          <w:p>
            <w:pPr>
              <w:spacing w:after="0"/>
              <w:rPr>
                <w:sz w:val="1"/>
                <w:szCs w:val="1"/>
                <w:color w:val="auto"/>
              </w:rPr>
            </w:pPr>
          </w:p>
        </w:tc>
      </w:tr>
      <w:tr>
        <w:trPr>
          <w:trHeight w:val="230"/>
        </w:trPr>
        <w:tc>
          <w:tcPr>
            <w:tcW w:w="64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Decrease (increase) in inventory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(282,061)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(14,749)</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(Increase) decrease in other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0" w:type="dxa"/>
            <w:vAlign w:val="bottom"/>
          </w:tcPr>
          <w:p>
            <w:pPr>
              <w:spacing w:after="0"/>
              <w:rPr>
                <w:sz w:val="1"/>
                <w:szCs w:val="1"/>
                <w:color w:val="auto"/>
              </w:rPr>
            </w:pPr>
          </w:p>
        </w:tc>
      </w:tr>
      <w:tr>
        <w:trPr>
          <w:trHeight w:val="229"/>
        </w:trPr>
        <w:tc>
          <w:tcPr>
            <w:tcW w:w="64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(Decrease) increase in trade accounts payable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10,615</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Increase (decrease) in 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(20,892)</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(19,624)</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(137,545)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178,057</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(20,334)</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fixed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30"/>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maturities of investment securities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0" w:type="dxa"/>
            <w:vAlign w:val="bottom"/>
          </w:tcPr>
          <w:p>
            <w:pPr>
              <w:spacing w:after="0"/>
              <w:rPr>
                <w:sz w:val="1"/>
                <w:szCs w:val="1"/>
                <w:color w:val="auto"/>
              </w:rPr>
            </w:pPr>
          </w:p>
        </w:tc>
      </w:tr>
      <w:tr>
        <w:trPr>
          <w:trHeight w:val="229"/>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(19,659)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(30,012)</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(29,670)</w:t>
            </w:r>
          </w:p>
        </w:tc>
        <w:tc>
          <w:tcPr>
            <w:tcW w:w="0" w:type="dxa"/>
            <w:vAlign w:val="bottom"/>
          </w:tcPr>
          <w:p>
            <w:pPr>
              <w:spacing w:after="0"/>
              <w:rPr>
                <w:sz w:val="1"/>
                <w:szCs w:val="1"/>
                <w:color w:val="auto"/>
              </w:rPr>
            </w:pPr>
          </w:p>
        </w:tc>
      </w:tr>
      <w:tr>
        <w:trPr>
          <w:trHeight w:val="20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debt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(202,195)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0" w:type="dxa"/>
            <w:vAlign w:val="bottom"/>
          </w:tcPr>
          <w:p>
            <w:pPr>
              <w:spacing w:after="0"/>
              <w:rPr>
                <w:sz w:val="1"/>
                <w:szCs w:val="1"/>
                <w:color w:val="auto"/>
              </w:rPr>
            </w:pPr>
          </w:p>
        </w:tc>
      </w:tr>
      <w:tr>
        <w:trPr>
          <w:trHeight w:val="230"/>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borrowings from credit facility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Borrowings from credit facility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issuance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30"/>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(33,077)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payments for stock-based compensation awards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Stock option exercises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23,878</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(143,679)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134,461</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242,610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386,289</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251,828</w:t>
            </w: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218,571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242,610</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386,289</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9" w:right="35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BEAZER HOMES USA,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Beazer Homes USA, Inc. (“we,” “us,” “our,” “Beazer,” “Beazer Homes” or the “Company”) is a nationally recognized homebuilder committed to building homes and communities designed with the intention of inspiring sustainable and healthier living. Operating across 13 states in the West, East, and Southeast geographic regions of the United States, Beazer Homes offers a diverse portfolio of products tailored to meet the evolving needs of homebuyers that value a well-constructed and energy efficient home.</w:t>
      </w:r>
    </w:p>
    <w:p>
      <w:pPr>
        <w:spacing w:after="0" w:line="176" w:lineRule="exact"/>
        <w:rPr>
          <w:sz w:val="20"/>
          <w:szCs w:val="20"/>
          <w:color w:val="auto"/>
        </w:rPr>
      </w:pPr>
    </w:p>
    <w:p>
      <w:pPr>
        <w:ind w:right="56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(2) Basis of Presentation and Summary of Significant Accounting Policies </w:t>
      </w:r>
      <w:r>
        <w:rPr>
          <w:rFonts w:ascii="Times New Roman" w:cs="Times New Roman" w:eastAsia="Times New Roman" w:hAnsi="Times New Roman"/>
          <w:sz w:val="18"/>
          <w:szCs w:val="18"/>
          <w:b w:val="1"/>
          <w:bCs w:val="1"/>
          <w:i w:val="1"/>
          <w:iCs w:val="1"/>
          <w:color w:val="auto"/>
        </w:rPr>
        <w:t>Basis of Consolidation</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accounting principles generally accepted in the United States of America (GAAP), and present the consolidated financial position, income, stockholders' equity, and cash flows of Beazer Homes USA, Inc. and its consolidated subsidiaries. Intercompany transactions and balances have been eliminated in consolidation. Our net income is equivalent to our comprehensive income, so we have not presented a separate statement of comprehensive income.</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past, we have discontinued homebuilding operations in various markets. Results from certain of these exited markets are reported as discontinued operations in the accompanying consolidated statements of operations for all periods presented.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fiscal year 2025 began on October 1, 2024 and ended on September 30, 2025. Our fiscal year 2024 began on October 1, 2023 and ended on September 30, 2024. Our fiscal year 2023 began on October 1, 2022 and ended on September 30,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informed estimates and judgments that affect the amounts reported in the consolidated financial statements and accompanying notes. Accordingly, actual results could differ from these estimates.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highly liquid investments with maturities of three months or less when acquired to be cash equivalents. As of September 30, 2025, the majority of our cash and cash equivalents were on demand deposits with major banks. These assets were valued at par and had no withdrawal restrictions. Restricted cash includes cash restricted by state law or a contractual requirement, including cash collateral for our outstanding cash-secured letters of credit (refer to Note 7).</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includes receivables from municipalities related to the development of utilities or other infrastructure, land banker reimbursements to be received related to land development costs, rebates to be received from our suppliers, escrow proceeds to be received from title companies associated with closed homes, and other miscellaneous receivables. Generally, we receive cash from title companies within a few days of the home being closed. We regularly review our receivable balances for collectability and record an allowance for expected credit losses.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Owned Inventory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Owned inventory includes land acquisition costs, land development costs, home construction costs, capitalized interest, real estate taxes, direct overhead costs and capitalized indirect costs incurred during land development and home construction, and common costs that benefit the entire community, less impairment, if any. Land acquisition, land development and other common costs (both incurred and estimated to be incurred) are allocated to individual lots on a pro-rata basis, and the cost of individual lots is transferred to homes under construction when home construction begins. Changes in estimated land and other common costs to be incurred in a community are generally allocated to the remaining lots on a prospective basis. Home construction costs are accumulated on a per-home basis. Cost of home closings includes the specific construction costs of the home and the allocated lot costs. Refer to Note 4 for further discussion of our inventory balance.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 - Projects in Progress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Projects in progress inventory includes homes under construction and land under development grouped together as communities. Generally, upon the commencement of land development activities, it may take three to five years (depending on, among other things, the size of the community and its sales pace) to fully develop, sell, construct and close all the homes in a typical community. Projects in progress are stated at cost unless facts and circumstances indicate that the carrying value of the assets may not be recoverable.</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assess our projects in progress inventory for indicators of impairment at the community level on a quarterly basis. We evaluate, among other things, the average sales price and margins on recent home closings, homes in backlog and expected future home sales for each community. If indicators of impairment are present for a community with more than ten homes remaining to close, we perform a recoverability test by comparing the expected undiscounted cash flows for the community to its carrying value. This undiscounted cash flow analysis requires important assumptions including, among other things, the current and future home sale prices, margins and the pace of closings to occur in the future. For those communities whose carrying values exceed the aggregate undiscounted cash flows, we perform a discounted cash flow analysis to determine the fair value of the community, and impairment charges are recorded if the fair value of the community's inventory is less than its carrying value.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assumptions used in the determination of fair value of projects in progress communities are based on factors known to us at the time such estimates are made and our expectations of future operations and market conditions. The fair value of the community is estimated using the present value of the estimated future cash flows using discount rates commensurate with the risk associated with the underlying community. Should the estimates or expectations used in determining estimated fair values deteriorate in the future, we may be required to recognize additional impairment charges and write-offs related to these assets, and such amounts could be material.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 - Land Held for Future Development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Land held for future development consists of communities for which construction and development activities are expected to occur in the future or have been idled. All applicable carrying costs, such as interest and real estate taxes, are expensed as incurred. Land held for future development is stated at cost unless facts and circumstances indicate that the carrying value of the assets may not be recoverable, such as the future enactment of a development plan or the occurrence of outside events. We evaluate the potential plans for each community in land held for future development if changes in facts and circumstances occur that would give rise to a more detailed analysis for a change in the status of a community.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 - Land Held for Sale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Land held for sale includes land and lots that do not fit within our homebuilding programs or strategic plans in certain markets. We record land held for sale at the lower of the asset's carrying value or fair value less cost to sell. Land is classified as held for sale when the following criteria are met:</w:t>
      </w:r>
    </w:p>
    <w:p>
      <w:pPr>
        <w:spacing w:after="0" w:line="10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the authority and commits to a plan to sell the land;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 is available for immediate sale in its present condition, subject only to terms that are usual and customary for sales of land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active program to locate a buyer and the plan to sell the property has been initiated;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land is probable within one year;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is being actively marketed at a reasonable sale price relative to its current fair value;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unlikely that the plan to sell will be withdrawn or that significant changes to the plan will be made.</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the fair value less cost to sell of a land held for sale asset when indicators of impairment are present. In determining the fair value of the assets, we consider factors including executed sales contracts, current sales prices for comparable assets in the area, recent market analysis studies, appraisals, recent legitimate offers and listing prices of similar properties, as applicable. If the current carrying value of the asset exceeds the estimated fair value less cost to sell, the asset is impaired and written down.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18"/>
          <w:szCs w:val="18"/>
          <w:color w:val="auto"/>
        </w:rPr>
        <w:t>Due to uncertainties in the estimation process, it is reasonably possible that actual results could differ from the estimates used in our analysis. Our assumptions about land sales prices require significant judgment because the market is highly sensitive to changes in economic conditions. We calculate the estimated fair values of land held for sale based on current market conditions and assumptions made by management, which may differ materially from actual results and may result in additional impairments if market conditions deteriorate.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Lot Option Agreements and Variable Interest Entities (VIE)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purchasing land directly, we utilize lot option agreements that enable us to defer acquiring portions of properties owned by third parties and unconsolidated entities until we have determined whether to exercise our lot option. The majority of our lot option agreements require a non-refundable cash deposit or issuance of an irrevocable letter of credit or surety bond based on a percentage of the purchase price of the land for the right to acquire lots during a specified period at a specified price. Purchase of the properties under these agreements is contingent upon satisfaction of certain requirements by us and the sellers. Under lot option agreements, our liability is generally limited to forfeiture of the non-refundable deposits, letters of credit or surety bonds, and other non-refundable amounts incurred. If the Company cancels a lot option agreement, the cancellation would result in a write-off of the related deposits and pre-acquisition costs but would not expose the Company to the overall risks or losses of the applicable entity we are purchasing from. We expect to exercise, subject to market conditions and seller satisfaction of contract terms, most of our remaining option agreements. Various factors, some of which are beyond our control, such as market conditions, weather conditions, and the timing of the completion of development activities, will have a significant impact on the timing of option exercises or whether lot options will be exercised at all.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interests in lot option agreements as of September 30, 2025 and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200" w:type="dxa"/>
            <w:vAlign w:val="bottom"/>
          </w:tcPr>
          <w:p>
            <w:pPr>
              <w:spacing w:after="0"/>
              <w:rPr>
                <w:sz w:val="16"/>
                <w:szCs w:val="16"/>
                <w:color w:val="auto"/>
              </w:rPr>
            </w:pPr>
          </w:p>
        </w:tc>
        <w:tc>
          <w:tcPr>
            <w:tcW w:w="1900" w:type="dxa"/>
            <w:vAlign w:val="bottom"/>
          </w:tcPr>
          <w:p>
            <w:pPr>
              <w:jc w:val="right"/>
              <w:ind w:right="216"/>
              <w:spacing w:after="0"/>
              <w:rPr>
                <w:sz w:val="20"/>
                <w:szCs w:val="20"/>
                <w:color w:val="auto"/>
              </w:rPr>
            </w:pPr>
            <w:r>
              <w:rPr>
                <w:rFonts w:ascii="Times New Roman" w:cs="Times New Roman" w:eastAsia="Times New Roman" w:hAnsi="Times New Roman"/>
                <w:sz w:val="14"/>
                <w:szCs w:val="14"/>
                <w:color w:val="auto"/>
              </w:rPr>
              <w:t>As of September 30, 2024</w:t>
            </w:r>
          </w:p>
        </w:tc>
        <w:tc>
          <w:tcPr>
            <w:tcW w:w="0" w:type="dxa"/>
            <w:vAlign w:val="bottom"/>
          </w:tcPr>
          <w:p>
            <w:pPr>
              <w:spacing w:after="0"/>
              <w:rPr>
                <w:sz w:val="1"/>
                <w:szCs w:val="1"/>
                <w:color w:val="auto"/>
              </w:rPr>
            </w:pPr>
          </w:p>
        </w:tc>
      </w:tr>
      <w:tr>
        <w:trPr>
          <w:trHeight w:val="23"/>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9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Deposits and non-refundable pre-acquisition costs incurred</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333,435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227,770</w:t>
            </w:r>
          </w:p>
        </w:tc>
        <w:tc>
          <w:tcPr>
            <w:tcW w:w="0" w:type="dxa"/>
            <w:vAlign w:val="bottom"/>
          </w:tcPr>
          <w:p>
            <w:pPr>
              <w:spacing w:after="0"/>
              <w:rPr>
                <w:sz w:val="1"/>
                <w:szCs w:val="1"/>
                <w:color w:val="auto"/>
              </w:rPr>
            </w:pPr>
          </w:p>
        </w:tc>
      </w:tr>
      <w:tr>
        <w:trPr>
          <w:trHeight w:val="238"/>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purchase price if lot option agreements are exercised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1,610,171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1,458,679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60" w:hanging="152"/>
        <w:spacing w:after="0"/>
        <w:tabs>
          <w:tab w:leader="none" w:pos="160" w:val="left"/>
        </w:tabs>
        <w:numPr>
          <w:ilvl w:val="0"/>
          <w:numId w:val="2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Amount is included as a component of land under development within our owned inventory in the consolidated balance sheets.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if the entity holding the land under option is a VIE, the Company's deposit represents a variable interest in that entity. ASC 810 requires a company to consolidate a VIE if the company is determined to be the primary beneficiary. To determine whether we are the primary beneficiary of the VIE, we first evaluate whether we have the ability to control the activities of the VIE that most significantly impact its economic performance. Such activities include, but are not limited to, (1) the ability to determine the budget and scope of land development work, if any; (2) the ability to control financing decisions for the VIE; (3) the ability to acquire additional land into the VIE or dispose of land in the VIE not under contract with Beazer; and (4) the ability to change or amend the existing option agreement with the VIE. If we are not determined to control such activities, we are not considered the primary beneficiary of the VIE and thus do not consolidate the VIE. If we do have the ability to control such activities, we will continue our analysis by determining if we are expected to absorb a potentially significant amount of the VIE's losses or, if no party absorbs the majority of such losses, if we will benefit from potentially a significant amount of the VIE's expected gains.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the primary beneficiary of the VIE, we will consolidate the VIE even though creditors of the VIE have no recourse against the Company. For those we consolidate, we record the remaining contractual purchase price under the applicable lot option agreement, net of option deposits already paid, to consolidated inventory not owned with an offsetting increase to obligations related to consolidated inventory not owned on our consolidated balance sheets. Also, to reflect the total purchase price of this inventory on a consolidated basis, we present the related option deposits as consolidated inventory not owned. No VIEs required consolidation as of September 2025 and 2024 because we have determined that we were not the primary beneficiary of any VIEs.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Our property and equipment is recorded at cost, net of accumulated depreciation. Depreciation is generally computed on a straight-line basis based on estimated useful lives as follows:</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880" w:type="dxa"/>
            <w:vAlign w:val="bottom"/>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9"/>
              </w:rPr>
              <w:t>Asset Class</w:t>
            </w:r>
          </w:p>
        </w:tc>
        <w:tc>
          <w:tcPr>
            <w:tcW w:w="4900" w:type="dxa"/>
            <w:vAlign w:val="bottom"/>
          </w:tcPr>
          <w:p>
            <w:pPr>
              <w:spacing w:after="0"/>
              <w:rPr>
                <w:sz w:val="17"/>
                <w:szCs w:val="17"/>
                <w:color w:val="auto"/>
              </w:rPr>
            </w:pPr>
          </w:p>
        </w:tc>
        <w:tc>
          <w:tcPr>
            <w:tcW w:w="542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Useful Lives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25 - 30 years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 systems</w:t>
            </w: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Lesser of estimated useful life of the asset or 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fixtures and computer and office equipment</w:t>
            </w: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3 - 7 years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7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Model and sales office improvements</w:t>
            </w:r>
          </w:p>
        </w:tc>
        <w:tc>
          <w:tcPr>
            <w:tcW w:w="54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Lesser of estimated useful life of the asset or estimated life of the</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780" w:type="dxa"/>
            <w:vAlign w:val="bottom"/>
            <w:gridSpan w:val="2"/>
            <w:vMerge w:val="continue"/>
            <w:shd w:val="clear" w:color="auto" w:fill="CCEEFF"/>
          </w:tcPr>
          <w:p>
            <w:pPr>
              <w:spacing w:after="0"/>
              <w:rPr>
                <w:sz w:val="12"/>
                <w:szCs w:val="12"/>
                <w:color w:val="auto"/>
              </w:rPr>
            </w:pPr>
          </w:p>
        </w:tc>
        <w:tc>
          <w:tcPr>
            <w:tcW w:w="54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community</w:t>
            </w:r>
          </w:p>
        </w:tc>
        <w:tc>
          <w:tcPr>
            <w:tcW w:w="0" w:type="dxa"/>
            <w:vAlign w:val="bottom"/>
          </w:tcPr>
          <w:p>
            <w:pPr>
              <w:spacing w:after="0"/>
              <w:rPr>
                <w:sz w:val="1"/>
                <w:szCs w:val="1"/>
                <w:color w:val="auto"/>
              </w:rPr>
            </w:pPr>
          </w:p>
        </w:tc>
      </w:tr>
      <w:tr>
        <w:trPr>
          <w:trHeight w:val="95"/>
        </w:trPr>
        <w:tc>
          <w:tcPr>
            <w:tcW w:w="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4900" w:type="dxa"/>
            <w:vAlign w:val="bottom"/>
            <w:shd w:val="clear" w:color="auto" w:fill="CCEEFF"/>
          </w:tcPr>
          <w:p>
            <w:pPr>
              <w:spacing w:after="0"/>
              <w:rPr>
                <w:sz w:val="8"/>
                <w:szCs w:val="8"/>
                <w:color w:val="auto"/>
              </w:rPr>
            </w:pPr>
          </w:p>
        </w:tc>
        <w:tc>
          <w:tcPr>
            <w:tcW w:w="542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Lesser of the lease term or the estimated useful life of the asset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identifiable net assets from the businesses that we acquire. The Company's entire goodwill balance is recorded in our Southeast reportable segment. The Company evaluates goodwill for impairment at the reporting unit level annually during the fourth quarter or more often if indicators of impairment exist.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the option to perform a qualitative or quantitative assessment to determine whether the fair value of a reporting unit exceeds its carrying value. Qualitative factors may include, but are not limited to, economic conditions, industry and market considerations, cost factors, overall financial performance of the reporting unit and other entity and reporting unit specific events. If after assessing these qualitative factors, the Company determines it is more likely than not that the fair value of the reporting unit is less than the carrying value, then a quantitative assessment is performed.</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the reporting unit is estimated using a combination of the income approach, utilizing the discounted cash flow method, and the market approach, utilizing readily available market valuation multiples. If the estimated fair value of the reporting unit is less than its carrying value, an impairment will be recognized for the amount by which the carrying amount exceeds the reporting unit’s fair value. Determining the fair value of a reporting unit under the quantitative goodwill impairment assessment requires the Company to make estimates and assumptions regarding future operating results, cash flows (including timing), discount rates, expected growth rates, capital expenditures and cost of capital, similar to those a market participant would use to assess fair value. We also make certain assumptions about future economic conditions and other data. Many of the factors used in assessing fair value are outside the control of management, and these assumptions and estimates may change in future periods.</w:t>
      </w:r>
    </w:p>
    <w:p>
      <w:pPr>
        <w:spacing w:after="0" w:line="135" w:lineRule="exact"/>
        <w:rPr>
          <w:sz w:val="20"/>
          <w:szCs w:val="20"/>
          <w:color w:val="auto"/>
        </w:rPr>
      </w:pPr>
    </w:p>
    <w:p>
      <w:pPr>
        <w:ind w:right="660"/>
        <w:spacing w:after="0" w:line="438" w:lineRule="auto"/>
        <w:rPr>
          <w:sz w:val="20"/>
          <w:szCs w:val="20"/>
          <w:color w:val="auto"/>
        </w:rPr>
      </w:pPr>
      <w:r>
        <w:rPr>
          <w:rFonts w:ascii="Times New Roman" w:cs="Times New Roman" w:eastAsia="Times New Roman" w:hAnsi="Times New Roman"/>
          <w:sz w:val="18"/>
          <w:szCs w:val="18"/>
          <w:color w:val="auto"/>
        </w:rPr>
        <w:t xml:space="preserve">During the fourth quarter of 2025, the Company performed its annual goodwill impairment analysis and concluded our goodwill was not impaired. </w:t>
      </w:r>
      <w:r>
        <w:rPr>
          <w:rFonts w:ascii="Times New Roman" w:cs="Times New Roman" w:eastAsia="Times New Roman" w:hAnsi="Times New Roman"/>
          <w:sz w:val="18"/>
          <w:szCs w:val="18"/>
          <w:b w:val="1"/>
          <w:bCs w:val="1"/>
          <w:i w:val="1"/>
          <w:iCs w:val="1"/>
          <w:color w:val="auto"/>
        </w:rPr>
        <w:t>Other Assets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other assets principally include prepaid expenses, assets related to our deferred compensation plan (refer to Note 14 for a discussion of our deferred compensation plan), investment securities, and unamortized debt issuance costs on our Senior Unsecured Revolving Credit Facility.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other liabilities principally include accrued compensations and benefits, accrued interest on our outstanding borrowings, customer deposits, warranty reserves, litigation accruals, income tax liabilities and other accruals related to our operations. Refer to Note 11 for details of our other liabilities.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provision for income taxes is comprised of taxes that are currently payable and deferred taxes that relate to temporary differences between financial reporting carrying values and tax bases of assets and liabilities. Deferred tax assets and liabilities result from deductible or taxable amounts in future years when such assets and liabilities are recovered or settled and are measured using the enacted tax rates and laws that are expected to be in effect when the assets and liabilities are recovered or settled. We include any estimated interest and penalties on tax related matters in income taxes payable. We recognize the effect of income tax positions only if those positions are more likely than not of being sustained. Recognized income tax positions are measured at the largest amount that is greater than 50% likely of being realized. We record interest and penalties related to unrecognized tax benefits in income tax expense within our consolidated statements of operations. Changes in recognition of measurement are recorded in the period in which the change in judgment occurs. Refer to Note 12 for a detailed discussion of our tax provision, deferred tax assets and valuation allowance.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recognize revenue upon the transfer of promised goods to our customers in an amount that reflects the consideration to which we expect to be entitled by applying the process specified in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total revenue disaggregated by revenue stream for the periods presented:</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Homebuilding 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2,302,630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2,292,984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2,198,400</w:t>
            </w:r>
          </w:p>
        </w:tc>
        <w:tc>
          <w:tcPr>
            <w:tcW w:w="0" w:type="dxa"/>
            <w:vAlign w:val="bottom"/>
          </w:tcPr>
          <w:p>
            <w:pPr>
              <w:spacing w:after="0"/>
              <w:rPr>
                <w:sz w:val="1"/>
                <w:szCs w:val="1"/>
                <w:color w:val="auto"/>
              </w:rPr>
            </w:pPr>
          </w:p>
        </w:tc>
      </w:tr>
      <w:tr>
        <w:trPr>
          <w:trHeight w:val="229"/>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Land sales and other revenue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0" w:type="dxa"/>
            <w:vAlign w:val="bottom"/>
          </w:tcPr>
          <w:p>
            <w:pPr>
              <w:spacing w:after="0"/>
              <w:rPr>
                <w:sz w:val="1"/>
                <w:szCs w:val="1"/>
                <w:color w:val="auto"/>
              </w:rPr>
            </w:pPr>
          </w:p>
        </w:tc>
      </w:tr>
      <w:tr>
        <w:trPr>
          <w:trHeight w:val="248"/>
        </w:trPr>
        <w:tc>
          <w:tcPr>
            <w:tcW w:w="6540" w:type="dxa"/>
            <w:vAlign w:val="bottom"/>
            <w:tcBorders>
              <w:bottom w:val="single" w:sz="8" w:color="CCEEFF"/>
            </w:tcBorders>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color w:val="auto"/>
              </w:rPr>
              <w:t>Total revenue</w:t>
            </w:r>
            <w:r>
              <w:rPr>
                <w:rFonts w:ascii="Times New Roman" w:cs="Times New Roman" w:eastAsia="Times New Roman" w:hAnsi="Times New Roman"/>
                <w:sz w:val="23"/>
                <w:szCs w:val="23"/>
                <w:color w:val="auto"/>
                <w:vertAlign w:val="superscript"/>
              </w:rPr>
              <w:t>(a)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2,371,555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2,330,197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2,206,785</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Please see Note 17 for total revenue disaggregated by reportable segment.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Homebuilding revenue</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Homebuilding revenue is reported net of discounts and is generally recognized when title to and possession of the home is transferred to the buyer at the closing date. The performance obligation to deliver the home is generally satisfied in less than one year from the original contract date. Home sale contract assets consist of cash from home closings held by title companies in escrow for our benefit, typically for less than five days, and are considered accounts receivable. Contract liabilities include customer deposits related to sold but undelivered homes and totaled $14.3 million and $18.7 million as of September 30, 2025 and 2024, respectively. Of the customer liabilities outstanding as of September 30, 2024, $16.1 million was recognized in revenue during the fiscal year ended September 30, 2025 upon closing of the related homes, and $1.9 million was refunded to or forfeited by the buyer.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Land sales and other revenue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Land sales revenue relates to land that does not fit within our homebuilding programs or strategic plans. Land sales typically require cash consideration on the closing date, which is generally when performance obligations are satisfied. We also provide title examinations for our homebuyers in certain markets. Revenues associated with our title operations are recognized when closing services are rendered and title insurance policies are issued, both of which generally occur as each home is closed.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Construction and Land Sales Expenses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Home construction expenses include the specific construction costs of the home, the allocated lot costs (land acquisition, land development and other common costs are allocated to individual lots on a pro-rata basis based on the number of lots remaining to close within the community), and amortization of capitalized interest and indirect costs. All associated homebuilding costs are charged to home construction expenses in the period when the revenues from home closing are recognized.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discounts and incentives include discounts on home prices, discounts on home building options and option upgrades, and seller-paid financing or closing costs, including mortgage rate buydowns. Home price discounts and option discounts are accounted for as a reduction in the sale price of the home, thereby decreasing the amount of revenue we recognize on that closing. All other sales incentives are recognized as a cost of selling the home and are included in home construction expenses.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Estimated future warranty costs are charged to home construction expense in the period when the revenues from home closings are recognized. Such estimated warranty costs generally range from 0.3% to 0.9% of total revenue recognized for each home closed. Additional warranty costs are charged to home construction expenses as necessary based on management's estimate of the costs to remediate existing claims. See Note 8 for a more detailed discussion of warranty costs and related reserves.</w:t>
      </w: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54" w:name="page55"/>
    <w:bookmarkEnd w:id="54"/>
    <w:p>
      <w:pPr>
        <w:jc w:val="both"/>
        <w:spacing w:after="0" w:line="282" w:lineRule="auto"/>
        <w:rPr>
          <w:sz w:val="20"/>
          <w:szCs w:val="20"/>
          <w:color w:val="auto"/>
        </w:rPr>
      </w:pPr>
      <w:r>
        <w:rPr>
          <w:rFonts w:ascii="Times New Roman" w:cs="Times New Roman" w:eastAsia="Times New Roman" w:hAnsi="Times New Roman"/>
          <w:sz w:val="18"/>
          <w:szCs w:val="18"/>
          <w:color w:val="auto"/>
        </w:rPr>
        <w:t>Land sales expenses include land acquisition costs, land development costs, and amortization of capitalized interest and indirects costs. All associated land costs are charged to land sales expenses in the period when the revenues from the land sales are recognized.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Advertising costs related to continuing operations of $23.0 million, $19.9 million and $15.1 million for our fiscal years 2025, 2024 and 2023, respectively, were expensed as incurred and were included in general and administrative (G&amp;A) expenses in the consolidated statements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our assets are required to be recorded at fair value on a recurring basis, for example, the fair value of our deferred compensation plan assets is based on quoted market prices (Level 1) or market-corroborated inputs (Level 2). Certain of our assets are required to be recorded at fair value on a non-recurring basis when events and circumstances indicate that the carrying value may not be recovered (Level 3). For example, we review our long-lived assets, including inventory, for recoverability when factors indicate an impairment may exist, but no less than quarterly. Fair value is based on estimated cash flows discounted for market risks associated with the long-lived assets. The fair value of certain of our financial instruments approximates their carrying amounts due to the short maturity of these assets and liabilities or the variable interest rates on such obligations. The fair value of our publicly-held debt is generally estimated based on quoted bid prices for these instruments (Level 2). Certain of our other financial liabilities are estimated by discounting scheduled cash flows through maturity or using market rates currently being offered on loans with similar terms and credit quality. See Note 9 for additional discussion of our fair value measurements.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the Black-Scholes option-pricing model to value our stock option grants. Restricted stock awards with market conditions are valued using the Monte Carlo valuation method. Other restricted stock awards without market conditions are valued based on the market price of the Company's common stock on the date of the grant. In addition, we reflect the benefits of tax deductions in excess of recognized compensation cost as an operating cash outflow. Compensation cost arising from all stock-based compensation awards is recognized as expense using the straight-line method over the vesting period and is included in G&amp;A in our consolidated statements of operations. See Note 15 for additional discussion of our stock-based compensation.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Segment Reporting. </w:t>
      </w:r>
      <w:r>
        <w:rPr>
          <w:rFonts w:ascii="Times New Roman" w:cs="Times New Roman" w:eastAsia="Times New Roman" w:hAnsi="Times New Roman"/>
          <w:sz w:val="18"/>
          <w:szCs w:val="18"/>
          <w:color w:val="auto"/>
        </w:rPr>
        <w:t>In November 2023, the Financial Accounting Standards Board (FASB) issued Accounting Standards Update (ASU) 2023-07,</w:t>
      </w:r>
      <w:r>
        <w:rPr>
          <w:rFonts w:ascii="Times New Roman" w:cs="Times New Roman" w:eastAsia="Times New Roman" w:hAnsi="Times New Roman"/>
          <w:sz w:val="18"/>
          <w:szCs w:val="18"/>
          <w:i w:val="1"/>
          <w:iCs w:val="1"/>
          <w:color w:val="auto"/>
        </w:rPr>
        <w:t xml:space="preserve"> Segment Reporting (Topic 280): Improvements to Reportable Segment Disclosures</w:t>
      </w:r>
      <w:r>
        <w:rPr>
          <w:rFonts w:ascii="Times New Roman" w:cs="Times New Roman" w:eastAsia="Times New Roman" w:hAnsi="Times New Roman"/>
          <w:sz w:val="18"/>
          <w:szCs w:val="18"/>
          <w:color w:val="auto"/>
        </w:rPr>
        <w:t>. ASU 2023-07 expands public entities’ segment disclosures by requiring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ASU 2023-07 became effective for us for the fiscal year ending September 30, 2025, and we applied the amendments retrospectively to all prior periods presented in our consolidated financial statements. See Note 17 for more information regarding our reportable segments.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i w:val="1"/>
          <w:iCs w:val="1"/>
          <w:color w:val="auto"/>
        </w:rPr>
        <w:t xml:space="preserve"> Income Taxes (Topic 740): Improvements to Income Tax Disclosures</w:t>
      </w:r>
      <w:r>
        <w:rPr>
          <w:rFonts w:ascii="Times New Roman" w:cs="Times New Roman" w:eastAsia="Times New Roman" w:hAnsi="Times New Roman"/>
          <w:sz w:val="18"/>
          <w:szCs w:val="18"/>
          <w:color w:val="auto"/>
        </w:rPr>
        <w:t>. ASU 2023-09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intended to enhance the transparency and decision usefulness of income tax disclosures. The amendments in ASU 2023-09 address investor requests for enhanced income tax information primarily through changes to the rate reconciliation and income taxes paid information. ASU 2023-09 will be effective for our fiscal year ending September 30, 2026. Early adoption is permitted and the amendments in this update should be applied on a prospective basis. The Company is currently evaluating the impact that the adoption of ASU 2023-09 may have on our consolidated financial statements and disclosures.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Statement Disclosures. </w:t>
      </w:r>
      <w:r>
        <w:rPr>
          <w:rFonts w:ascii="Times New Roman" w:cs="Times New Roman" w:eastAsia="Times New Roman" w:hAnsi="Times New Roman"/>
          <w:sz w:val="18"/>
          <w:szCs w:val="18"/>
          <w:color w:val="auto"/>
        </w:rPr>
        <w:t>In November 2024, the FASB issued ASU 2024-03,</w:t>
      </w:r>
      <w:r>
        <w:rPr>
          <w:rFonts w:ascii="Times New Roman" w:cs="Times New Roman" w:eastAsia="Times New Roman" w:hAnsi="Times New Roman"/>
          <w:sz w:val="18"/>
          <w:szCs w:val="18"/>
          <w:i w:val="1"/>
          <w:iCs w:val="1"/>
          <w:color w:val="auto"/>
        </w:rPr>
        <w:t xml:space="preserve"> Income Statement—Reporting Comprehensive Income—Expense Disaggregation Disclosures (Subtopic 220-40): Disaggregation of Income Statement Expenses</w:t>
      </w:r>
      <w:r>
        <w:rPr>
          <w:rFonts w:ascii="Times New Roman" w:cs="Times New Roman" w:eastAsia="Times New Roman" w:hAnsi="Times New Roman"/>
          <w:sz w:val="18"/>
          <w:szCs w:val="18"/>
          <w:color w:val="auto"/>
        </w:rPr>
        <w:t>. ASU 2024-03 requires disclosure of additional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specific expense categories in the notes to the financial statements. ASU 2024-03 will be effective for our fiscal year ending September 30, 2028. Early adoption is permitted and the amendments in this update should be applied either prospectively to financial statements issued for reporting periods after the effective date of this ASU or retrospectively to any or all prior periods presented in the financial statements. The Company is currently evaluating the impact that the adoption of ASU 2024-03 may have on our consolidated financial statements and disclosures.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Credit Losses. </w:t>
      </w:r>
      <w:r>
        <w:rPr>
          <w:rFonts w:ascii="Times New Roman" w:cs="Times New Roman" w:eastAsia="Times New Roman" w:hAnsi="Times New Roman"/>
          <w:sz w:val="18"/>
          <w:szCs w:val="18"/>
          <w:color w:val="auto"/>
        </w:rPr>
        <w:t>In July 2025, the FASB issued ASU 2025-05,</w:t>
      </w:r>
      <w:r>
        <w:rPr>
          <w:rFonts w:ascii="Times New Roman" w:cs="Times New Roman" w:eastAsia="Times New Roman" w:hAnsi="Times New Roman"/>
          <w:sz w:val="18"/>
          <w:szCs w:val="18"/>
          <w:i w:val="1"/>
          <w:iCs w:val="1"/>
          <w:color w:val="auto"/>
        </w:rPr>
        <w:t xml:space="preserve"> Financial Instruments – Credit Losses (Topic 326): Measurement of Credit Losses for Accounts Receivable and Contract Assets, </w:t>
      </w:r>
      <w:r>
        <w:rPr>
          <w:rFonts w:ascii="Times New Roman" w:cs="Times New Roman" w:eastAsia="Times New Roman" w:hAnsi="Times New Roman"/>
          <w:sz w:val="18"/>
          <w:szCs w:val="18"/>
          <w:color w:val="auto"/>
        </w:rPr>
        <w:t>which allows entities to use the practical expedient to estimate expected credit losses. ASU 2025-05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our fiscal year ending September 30, 2027 and interim reporting periods within this annual reporting period, with early adoption permitted. The Company is currently evaluating the impact that the adoption of ASU 2025-05 may have on our consolidated financial statements and disclosures.</w:t>
      </w:r>
    </w:p>
    <w:p>
      <w:pPr>
        <w:spacing w:after="0" w:line="1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Internal-Use Software. </w:t>
      </w:r>
      <w:r>
        <w:rPr>
          <w:rFonts w:ascii="Times New Roman" w:cs="Times New Roman" w:eastAsia="Times New Roman" w:hAnsi="Times New Roman"/>
          <w:sz w:val="18"/>
          <w:szCs w:val="18"/>
          <w:color w:val="auto"/>
        </w:rPr>
        <w:t>In September 2025, the FASB issued ASU 2025-06,</w:t>
      </w:r>
      <w:r>
        <w:rPr>
          <w:rFonts w:ascii="Times New Roman" w:cs="Times New Roman" w:eastAsia="Times New Roman" w:hAnsi="Times New Roman"/>
          <w:sz w:val="18"/>
          <w:szCs w:val="18"/>
          <w:i w:val="1"/>
          <w:iCs w:val="1"/>
          <w:color w:val="auto"/>
        </w:rPr>
        <w:t xml:space="preserve"> Intangibles—Goodwill and Other—Internal-Use Software (Subtopic 350-40): Targeted Improvements to the Accounting for Internal-Use Software, </w:t>
      </w:r>
      <w:r>
        <w:rPr>
          <w:rFonts w:ascii="Times New Roman" w:cs="Times New Roman" w:eastAsia="Times New Roman" w:hAnsi="Times New Roman"/>
          <w:sz w:val="18"/>
          <w:szCs w:val="18"/>
          <w:color w:val="auto"/>
        </w:rPr>
        <w:t>which modernizes the accounting for the costs of internal-use software by removing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references to software development project stages so that the guidance is neutral to different software development methods. ASU 2025-06 will be effective for our fiscal year ending September 30, 2029 and interim reporting periods within this annual reporting period. Early adoption is permitted and the amendments in this update may be applied on a retrospective, modified transition, or prospective basis. The Company is currently evaluating the impact that the adoption of ASU 2025-06 may have on our consolidated financial statements and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Supplemental Cash Flow Information</w:t>
      </w:r>
    </w:p>
    <w:p>
      <w:pPr>
        <w:spacing w:after="0" w:line="175" w:lineRule="exact"/>
        <w:rPr>
          <w:sz w:val="20"/>
          <w:szCs w:val="20"/>
          <w:color w:val="auto"/>
        </w:rPr>
      </w:pPr>
    </w:p>
    <w:p>
      <w:pPr>
        <w:ind w:right="860"/>
        <w:spacing w:after="0" w:line="270" w:lineRule="auto"/>
        <w:rPr>
          <w:sz w:val="20"/>
          <w:szCs w:val="20"/>
          <w:color w:val="auto"/>
        </w:rPr>
      </w:pPr>
      <w:r>
        <w:rPr>
          <w:rFonts w:ascii="Times New Roman" w:cs="Times New Roman" w:eastAsia="Times New Roman" w:hAnsi="Times New Roman"/>
          <w:sz w:val="18"/>
          <w:szCs w:val="18"/>
          <w:color w:val="auto"/>
        </w:rPr>
        <w:t>The following table presents supplemental disclosure of non-cash and cash activity as well as a reconciliation of total cash balances between the consolidated balance sheets and consolidated statements of cash flows for the periods presented:</w:t>
      </w: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4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0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activity:</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operating lease right-of-use assets</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11,309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0" w:type="dxa"/>
            <w:vAlign w:val="bottom"/>
          </w:tcPr>
          <w:p>
            <w:pPr>
              <w:spacing w:after="0"/>
              <w:rPr>
                <w:sz w:val="1"/>
                <w:szCs w:val="1"/>
                <w:color w:val="auto"/>
              </w:rPr>
            </w:pPr>
          </w:p>
        </w:tc>
      </w:tr>
      <w:tr>
        <w:trPr>
          <w:trHeight w:val="270"/>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in operating lease liabilities</w:t>
            </w:r>
            <w:r>
              <w:rPr>
                <w:rFonts w:ascii="Times New Roman" w:cs="Times New Roman" w:eastAsia="Times New Roman" w:hAnsi="Times New Roman"/>
                <w:sz w:val="23"/>
                <w:szCs w:val="23"/>
                <w:color w:val="auto"/>
                <w:vertAlign w:val="superscript"/>
              </w:rPr>
              <w:t>(a)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11,309</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12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11,276</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activity: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payments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82,172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67,342</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payments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230"/>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refunds received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214,705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203,907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345,590</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40,699</w:t>
            </w:r>
          </w:p>
        </w:tc>
        <w:tc>
          <w:tcPr>
            <w:tcW w:w="0" w:type="dxa"/>
            <w:vAlign w:val="bottom"/>
          </w:tcPr>
          <w:p>
            <w:pPr>
              <w:spacing w:after="0"/>
              <w:rPr>
                <w:sz w:val="1"/>
                <w:szCs w:val="1"/>
                <w:color w:val="auto"/>
              </w:rPr>
            </w:pPr>
          </w:p>
        </w:tc>
      </w:tr>
      <w:tr>
        <w:trPr>
          <w:trHeight w:val="155"/>
        </w:trPr>
        <w:tc>
          <w:tcPr>
            <w:tcW w:w="650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statement of cash</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218,571</w:t>
            </w:r>
          </w:p>
        </w:tc>
        <w:tc>
          <w:tcPr>
            <w:tcW w:w="100" w:type="dxa"/>
            <w:vAlign w:val="bottom"/>
          </w:tcPr>
          <w:p>
            <w:pPr>
              <w:spacing w:after="0"/>
              <w:rPr>
                <w:sz w:val="13"/>
                <w:szCs w:val="13"/>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242,610</w:t>
            </w:r>
          </w:p>
        </w:tc>
        <w:tc>
          <w:tcPr>
            <w:tcW w:w="120" w:type="dxa"/>
            <w:vAlign w:val="bottom"/>
          </w:tcPr>
          <w:p>
            <w:pPr>
              <w:spacing w:after="0"/>
              <w:rPr>
                <w:sz w:val="13"/>
                <w:szCs w:val="13"/>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386,289</w:t>
            </w:r>
          </w:p>
        </w:tc>
        <w:tc>
          <w:tcPr>
            <w:tcW w:w="0" w:type="dxa"/>
            <w:vAlign w:val="bottom"/>
          </w:tcPr>
          <w:p>
            <w:pPr>
              <w:spacing w:after="0"/>
              <w:rPr>
                <w:sz w:val="1"/>
                <w:szCs w:val="1"/>
                <w:color w:val="auto"/>
              </w:rPr>
            </w:pPr>
          </w:p>
        </w:tc>
      </w:tr>
      <w:tr>
        <w:trPr>
          <w:trHeight w:val="221"/>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flows</w:t>
            </w:r>
          </w:p>
        </w:tc>
        <w:tc>
          <w:tcPr>
            <w:tcW w:w="36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leases renewed or additional leases that commenced during the fiscal years ended September 30, 2025, 2024 and 2023.</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86"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(4) Owned Inventory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owned inventory are as follows as of September 30, 2025 and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6"/>
                <w:szCs w:val="16"/>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200" w:type="dxa"/>
            <w:vAlign w:val="bottom"/>
          </w:tcPr>
          <w:p>
            <w:pPr>
              <w:spacing w:after="0"/>
              <w:rPr>
                <w:sz w:val="16"/>
                <w:szCs w:val="16"/>
                <w:color w:val="auto"/>
              </w:rPr>
            </w:pPr>
          </w:p>
        </w:tc>
        <w:tc>
          <w:tcPr>
            <w:tcW w:w="190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As of September 30, 2024</w:t>
            </w:r>
          </w:p>
        </w:tc>
      </w:tr>
      <w:tr>
        <w:trPr>
          <w:trHeight w:val="23"/>
        </w:trPr>
        <w:tc>
          <w:tcPr>
            <w:tcW w:w="6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Homes under construction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692,327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754,705</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under development</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1,065,702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1,023,188</w:t>
            </w: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held for future development</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19,879</w:t>
            </w: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held for sale</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19,086</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131,845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124,182</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Model homes</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72,702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99,600</w:t>
            </w:r>
          </w:p>
        </w:tc>
      </w:tr>
      <w:tr>
        <w:trPr>
          <w:trHeight w:val="248"/>
        </w:trPr>
        <w:tc>
          <w:tcPr>
            <w:tcW w:w="6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owned inventory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2,029,433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2,040,640</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Homes under construction include homes substantially finished and ready for delivery and homes in various stages of construction, including costs of the underlying lot, direct construction costs and capitalized indirect costs. As of September 30, 2025, we had 1,800 homes under construction, including 1,078 spec homes totaling $417.4 million (577 in-process spec homes totaling $201.8 million, and 501 finished spec homes totaling $215.6 million). As of September 30, 2024, we had 2,315 homes under construction, including 1,154 spec homes totaling $360.9 million (827 in-process spec homes totaling $231.4 million, and 327 finished spec homes totaling $129.5 million).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Land under development consists principally of land acquisition, land development and other common costs. These land related costs are allocated to individual lots on a pro-rata basis, and the lot costs are transferred to homes under construction when home construction begins for the respective lots. Certain of the fully developed lots in this category are reserved by a customer deposit or sales contract.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Land held for future development consists of communities for which construction and development activities are expected to occur in the future or have been idled and are stated at cost unless facts and circumstances indicate that the carrying value of the assets may not be recoverable. All applicable carrying costs, such as interest and real estate taxes, are expensed as incurred.</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Land held for sale includes land and lots that do not fit within our homebuilding programs or strategic plans in certain markets, and land is classified as held for sale once certain criteria are met (refer to Note 2). These assets are recorded at the lower of the carrying value or fair value less costs to sell.</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interest we are able to capitalize depends on our qualified inventory balance, which considers the status of our inventory holdings. Our qualified inventory balance includes the majority of our homes under construction and land under development but excludes land held for future development and land held for sale (see Note 5 for additional information on capitalized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Total owned inventory by reportable segment and Corporate and unallocated is presented in the table below as of September 30, 2025 and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3"/>
                <w:szCs w:val="13"/>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Projects in</w:t>
            </w:r>
          </w:p>
        </w:tc>
        <w:tc>
          <w:tcPr>
            <w:tcW w:w="140" w:type="dxa"/>
            <w:vAlign w:val="bottom"/>
          </w:tcPr>
          <w:p>
            <w:pPr>
              <w:spacing w:after="0"/>
              <w:rPr>
                <w:sz w:val="13"/>
                <w:szCs w:val="13"/>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Land Held for Future</w:t>
            </w:r>
          </w:p>
        </w:tc>
        <w:tc>
          <w:tcPr>
            <w:tcW w:w="320" w:type="dxa"/>
            <w:vAlign w:val="bottom"/>
          </w:tcPr>
          <w:p>
            <w:pPr>
              <w:spacing w:after="0"/>
              <w:rPr>
                <w:sz w:val="13"/>
                <w:szCs w:val="13"/>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Land Held</w:t>
            </w:r>
          </w:p>
        </w:tc>
        <w:tc>
          <w:tcPr>
            <w:tcW w:w="280" w:type="dxa"/>
            <w:vAlign w:val="bottom"/>
          </w:tcPr>
          <w:p>
            <w:pPr>
              <w:spacing w:after="0"/>
              <w:rPr>
                <w:sz w:val="13"/>
                <w:szCs w:val="13"/>
                <w:color w:val="auto"/>
              </w:rPr>
            </w:pPr>
          </w:p>
        </w:tc>
        <w:tc>
          <w:tcPr>
            <w:tcW w:w="14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 Owned</w:t>
            </w:r>
          </w:p>
        </w:tc>
        <w:tc>
          <w:tcPr>
            <w:tcW w:w="0" w:type="dxa"/>
            <w:vAlign w:val="bottom"/>
          </w:tcPr>
          <w:p>
            <w:pPr>
              <w:spacing w:after="0"/>
              <w:rPr>
                <w:sz w:val="1"/>
                <w:szCs w:val="1"/>
                <w:color w:val="auto"/>
              </w:rPr>
            </w:pPr>
          </w:p>
        </w:tc>
      </w:tr>
      <w:tr>
        <w:trPr>
          <w:trHeight w:val="203"/>
        </w:trPr>
        <w:tc>
          <w:tcPr>
            <w:tcW w:w="40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ind w:left="2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Progress </w:t>
            </w:r>
            <w:r>
              <w:rPr>
                <w:rFonts w:ascii="Times New Roman" w:cs="Times New Roman" w:eastAsia="Times New Roman" w:hAnsi="Times New Roman"/>
                <w:sz w:val="18"/>
                <w:szCs w:val="18"/>
                <w:b w:val="1"/>
                <w:bCs w:val="1"/>
                <w:color w:val="auto"/>
                <w:vertAlign w:val="superscript"/>
              </w:rPr>
              <w:t>(a)</w:t>
            </w:r>
          </w:p>
        </w:tc>
        <w:tc>
          <w:tcPr>
            <w:tcW w:w="14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320" w:type="dxa"/>
            <w:vAlign w:val="bottom"/>
          </w:tcPr>
          <w:p>
            <w:pPr>
              <w:spacing w:after="0"/>
              <w:rPr>
                <w:sz w:val="17"/>
                <w:szCs w:val="17"/>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Sale</w:t>
            </w:r>
          </w:p>
        </w:tc>
        <w:tc>
          <w:tcPr>
            <w:tcW w:w="280" w:type="dxa"/>
            <w:vAlign w:val="bottom"/>
          </w:tcPr>
          <w:p>
            <w:pPr>
              <w:spacing w:after="0"/>
              <w:rPr>
                <w:sz w:val="17"/>
                <w:szCs w:val="17"/>
                <w:color w:val="auto"/>
              </w:rPr>
            </w:pPr>
          </w:p>
        </w:tc>
        <w:tc>
          <w:tcPr>
            <w:tcW w:w="14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Inventory</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September 30, 2025</w:t>
            </w: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West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944,601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29,052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977,136</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East</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387,954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414,928</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Southeast</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418,497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425,845</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Corporate and unallocated</w:t>
            </w:r>
            <w:r>
              <w:rPr>
                <w:rFonts w:ascii="Times New Roman" w:cs="Times New Roman" w:eastAsia="Times New Roman" w:hAnsi="Times New Roman"/>
                <w:sz w:val="23"/>
                <w:szCs w:val="23"/>
                <w:b w:val="1"/>
                <w:bCs w:val="1"/>
                <w:color w:val="auto"/>
                <w:vertAlign w:val="superscript"/>
              </w:rPr>
              <w:t>(b)</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211,524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211,524</w:t>
            </w:r>
          </w:p>
        </w:tc>
        <w:tc>
          <w:tcPr>
            <w:tcW w:w="0" w:type="dxa"/>
            <w:vAlign w:val="bottom"/>
          </w:tcPr>
          <w:p>
            <w:pPr>
              <w:spacing w:after="0"/>
              <w:rPr>
                <w:sz w:val="1"/>
                <w:szCs w:val="1"/>
                <w:color w:val="auto"/>
              </w:rPr>
            </w:pPr>
          </w:p>
        </w:tc>
      </w:tr>
      <w:tr>
        <w:trPr>
          <w:trHeight w:val="223"/>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1,962,576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19,489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47,368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2,029,433</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September 30, 2024</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1,023,140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1,043,733</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424,102</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Southeast</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371,860</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unallocated</w:t>
            </w:r>
            <w:r>
              <w:rPr>
                <w:rFonts w:ascii="Times New Roman" w:cs="Times New Roman" w:eastAsia="Times New Roman" w:hAnsi="Times New Roman"/>
                <w:sz w:val="23"/>
                <w:szCs w:val="23"/>
                <w:color w:val="auto"/>
                <w:vertAlign w:val="superscript"/>
              </w:rPr>
              <w:t>(b)</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200,945</w:t>
            </w:r>
          </w:p>
        </w:tc>
        <w:tc>
          <w:tcPr>
            <w:tcW w:w="0" w:type="dxa"/>
            <w:vAlign w:val="bottom"/>
          </w:tcPr>
          <w:p>
            <w:pPr>
              <w:spacing w:after="0"/>
              <w:rPr>
                <w:sz w:val="1"/>
                <w:szCs w:val="1"/>
                <w:color w:val="auto"/>
              </w:rPr>
            </w:pPr>
          </w:p>
        </w:tc>
      </w:tr>
      <w:tr>
        <w:trPr>
          <w:trHeight w:val="223"/>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2,001,675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2,040,640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80" w:right="400" w:hanging="172"/>
        <w:spacing w:after="0"/>
        <w:tabs>
          <w:tab w:leader="none" w:pos="177"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Projects in progress include homes under construction, land under development, capitalized interest, and model home categories from the preceding table.</w:t>
      </w:r>
    </w:p>
    <w:p>
      <w:pPr>
        <w:spacing w:after="0" w:line="268"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Projects in progress amount includes capitalized interest and indirect costs that are maintained within Corporate and unallocated.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Impairments</w:t>
      </w:r>
    </w:p>
    <w:p>
      <w:pPr>
        <w:spacing w:after="0" w:line="175" w:lineRule="exact"/>
        <w:rPr>
          <w:sz w:val="20"/>
          <w:szCs w:val="20"/>
          <w:color w:val="auto"/>
        </w:rPr>
      </w:pPr>
    </w:p>
    <w:p>
      <w:pPr>
        <w:ind w:right="640"/>
        <w:spacing w:after="0" w:line="270" w:lineRule="auto"/>
        <w:rPr>
          <w:sz w:val="20"/>
          <w:szCs w:val="20"/>
          <w:color w:val="auto"/>
        </w:rPr>
      </w:pPr>
      <w:r>
        <w:rPr>
          <w:rFonts w:ascii="Times New Roman" w:cs="Times New Roman" w:eastAsia="Times New Roman" w:hAnsi="Times New Roman"/>
          <w:sz w:val="18"/>
          <w:szCs w:val="18"/>
          <w:color w:val="auto"/>
        </w:rPr>
        <w:t>The following table presents, by reportable segment and Corporate and unallocated, our total impairment and abandonment charges for the periods presented:</w:t>
      </w: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4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Projects in Progress: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Southeast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unallocated </w:t>
            </w:r>
            <w:r>
              <w:rPr>
                <w:rFonts w:ascii="Times New Roman" w:cs="Times New Roman" w:eastAsia="Times New Roman" w:hAnsi="Times New Roman"/>
                <w:sz w:val="23"/>
                <w:szCs w:val="23"/>
                <w:color w:val="auto"/>
                <w:vertAlign w:val="superscript"/>
              </w:rPr>
              <w:t>(a)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impairment charges on projects in progress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Land Held for Sale: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West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Corporate and unallocated</w:t>
            </w:r>
            <w:r>
              <w:rPr>
                <w:rFonts w:ascii="Times New Roman" w:cs="Times New Roman" w:eastAsia="Times New Roman" w:hAnsi="Times New Roman"/>
                <w:sz w:val="23"/>
                <w:szCs w:val="23"/>
                <w:color w:val="auto"/>
                <w:vertAlign w:val="superscript"/>
              </w:rPr>
              <w:t>(a)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impairment charges on land held for sale</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Abandonments: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West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30"/>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East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Southeast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abandonments charges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48"/>
        </w:trPr>
        <w:tc>
          <w:tcPr>
            <w:tcW w:w="65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impairment and abandonment charges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80" w:right="260" w:hanging="172"/>
        <w:spacing w:after="0" w:line="242" w:lineRule="auto"/>
        <w:tabs>
          <w:tab w:leader="none" w:pos="177"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 represents capitalized interest and indirects balance that was impaired. Capitalized interest and indirects are maintained within Corporate and unallocated.</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Projects in Progress Impairments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Projects in progress inventory includes homes under construction and land under development grouped together as communities. Projects in progress are stated at cost unless facts and circumstances indicate that the carrying value of the assets may not be recoverable.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our projects in progress inventory for indicators of impairment at the community level on a quarterly basis. If indicators of impairment are present for a community with more than ten homes remaining to close, we perform a recoverability test by comparing the expected undiscounted cash flows for the community to its carrying value. If the aggregate undiscounted cash flows are in excess of the carrying value, the asset is considered to be recoverable and is not impaired. If the carrying value exceeds the aggregate undiscounted cash flows, we perform a discounted cash flow analysis to determine the fair value of the community, and impairment charges are recorded if the fair value of the community's inventory is less than its carrying value.</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Valuation assumptions for communities tested for impairment are specific to each community. For projects in progress impaired during the periods presented, we determined the fair value of each community by discounting its estimated future cash flows at a rate commensurate with the risks associated with the underlying community. The discount rate used depends on (1) community specific factors such as product types, development stage and expected duration of the project, and competitive factors influencing the sales performance of the community, (2) local market factors such as employment levels, consumer confidence and existing supply of new and used homes for sale, and (3) other specific factors. The estimated future cash flows for each community were determined based on the expected pace of closings and average sales price less expected costs for land acquisition and land development, direct construction, overhead and interest. The assumptions used in the determination of fair value of projects in progress communities are based on factors known to us at the time such estimates are made and our expectations of future operations and market conditions. Due to uncertainties in the estimation process, the significant volatility in market conditions, the long life cycles of many communities, and potential changes in our strategy related to certain communities, actual results could differ significantly from our estimates.</w:t>
      </w:r>
    </w:p>
    <w:p>
      <w:pPr>
        <w:spacing w:after="0" w:line="14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fiscal year ended September 30, 2025, we performed discounted cash flow analyses to determine the fair value of two projects in progress communities, one in our Phoenix market and the other in our Orlando market. These analyses led to an $8.6 million projects in progress impairment charge, principally due to a reduction in price driven by the competitive and market dynamics. No projects in progress impairments were recognized during the fiscal years ended September 30, 2024 and 2023.</w:t>
      </w:r>
    </w:p>
    <w:p>
      <w:pPr>
        <w:spacing w:after="0" w:line="1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table presents, by reportable segment and Corporate and unallocated, details of the impairment charges taken on projects in progress for the period presented:</w:t>
      </w:r>
    </w:p>
    <w:tbl>
      <w:tblPr>
        <w:tblLayout w:type="fixed"/>
        <w:tblInd w:w="0" w:type="dxa"/>
        <w:tblCellMar>
          <w:top w:w="0" w:type="dxa"/>
          <w:left w:w="0" w:type="dxa"/>
          <w:bottom w:w="0" w:type="dxa"/>
          <w:right w:w="0" w:type="dxa"/>
        </w:tblCellMar>
      </w:tblPr>
      <w:tr>
        <w:trPr>
          <w:trHeight w:val="19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Results of Impairment Analysis</w:t>
            </w: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jc w:val="center"/>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Estimated Fair Value of</w:t>
            </w:r>
          </w:p>
        </w:tc>
        <w:tc>
          <w:tcPr>
            <w:tcW w:w="0" w:type="dxa"/>
            <w:vAlign w:val="bottom"/>
          </w:tcPr>
          <w:p>
            <w:pPr>
              <w:spacing w:after="0"/>
              <w:rPr>
                <w:sz w:val="1"/>
                <w:szCs w:val="1"/>
                <w:color w:val="auto"/>
              </w:rPr>
            </w:pPr>
          </w:p>
        </w:tc>
      </w:tr>
      <w:tr>
        <w:trPr>
          <w:trHeight w:val="146"/>
        </w:trPr>
        <w:tc>
          <w:tcPr>
            <w:tcW w:w="3520" w:type="dxa"/>
            <w:vAlign w:val="bottom"/>
          </w:tcPr>
          <w:p>
            <w:pPr>
              <w:spacing w:after="0"/>
              <w:rPr>
                <w:sz w:val="12"/>
                <w:szCs w:val="12"/>
                <w:color w:val="auto"/>
              </w:rPr>
            </w:pPr>
          </w:p>
        </w:tc>
        <w:tc>
          <w:tcPr>
            <w:tcW w:w="1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of Communities Impaired</w:t>
            </w:r>
          </w:p>
        </w:tc>
        <w:tc>
          <w:tcPr>
            <w:tcW w:w="19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 of Lots Impaired</w:t>
            </w:r>
          </w:p>
        </w:tc>
        <w:tc>
          <w:tcPr>
            <w:tcW w:w="200" w:type="dxa"/>
            <w:vAlign w:val="bottom"/>
          </w:tcPr>
          <w:p>
            <w:pPr>
              <w:spacing w:after="0"/>
              <w:rPr>
                <w:sz w:val="12"/>
                <w:szCs w:val="12"/>
                <w:color w:val="auto"/>
              </w:rPr>
            </w:pPr>
          </w:p>
        </w:tc>
        <w:tc>
          <w:tcPr>
            <w:tcW w:w="1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Impairment Charge</w:t>
            </w:r>
          </w:p>
        </w:tc>
        <w:tc>
          <w:tcPr>
            <w:tcW w:w="18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Impaired Inventory at Time</w:t>
            </w: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of Impairment</w:t>
            </w:r>
            <w:r>
              <w:rPr>
                <w:rFonts w:ascii="Times New Roman" w:cs="Times New Roman" w:eastAsia="Times New Roman" w:hAnsi="Times New Roman"/>
                <w:sz w:val="9"/>
                <w:szCs w:val="9"/>
                <w:b w:val="1"/>
                <w:bCs w:val="1"/>
                <w:color w:val="auto"/>
              </w:rPr>
              <w:t>(b)</w:t>
            </w:r>
          </w:p>
        </w:tc>
        <w:tc>
          <w:tcPr>
            <w:tcW w:w="0" w:type="dxa"/>
            <w:vAlign w:val="bottom"/>
          </w:tcPr>
          <w:p>
            <w:pPr>
              <w:spacing w:after="0"/>
              <w:rPr>
                <w:sz w:val="1"/>
                <w:szCs w:val="1"/>
                <w:color w:val="auto"/>
              </w:rPr>
            </w:pPr>
          </w:p>
        </w:tc>
      </w:tr>
      <w:tr>
        <w:trPr>
          <w:trHeight w:val="216"/>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Fiscal Year Ended September 30, 2025</w:t>
            </w: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Southeast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unallocated</w:t>
            </w:r>
            <w:r>
              <w:rPr>
                <w:rFonts w:ascii="Times New Roman" w:cs="Times New Roman" w:eastAsia="Times New Roman" w:hAnsi="Times New Roman"/>
                <w:sz w:val="23"/>
                <w:szCs w:val="23"/>
                <w:color w:val="auto"/>
                <w:vertAlign w:val="superscript"/>
              </w:rPr>
              <w:t>(a)</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0" w:type="dxa"/>
            <w:vAlign w:val="bottom"/>
          </w:tcPr>
          <w:p>
            <w:pPr>
              <w:spacing w:after="0"/>
              <w:rPr>
                <w:sz w:val="1"/>
                <w:szCs w:val="1"/>
                <w:color w:val="auto"/>
              </w:rPr>
            </w:pPr>
          </w:p>
        </w:tc>
      </w:tr>
      <w:tr>
        <w:trPr>
          <w:trHeight w:val="223"/>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80" w:right="180" w:hanging="172"/>
        <w:spacing w:after="0" w:line="242" w:lineRule="auto"/>
        <w:tabs>
          <w:tab w:leader="none" w:pos="177"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 represents the capitalized interest and indirects balances that were impaired. Capitalized interest and indirects are maintained within Corporate and unallocated.</w:t>
      </w:r>
    </w:p>
    <w:p>
      <w:pPr>
        <w:spacing w:after="0" w:line="87" w:lineRule="exact"/>
        <w:rPr>
          <w:rFonts w:ascii="Times New Roman" w:cs="Times New Roman" w:eastAsia="Times New Roman" w:hAnsi="Times New Roman"/>
          <w:sz w:val="22"/>
          <w:szCs w:val="22"/>
          <w:color w:val="auto"/>
          <w:vertAlign w:val="superscript"/>
        </w:rPr>
      </w:pPr>
    </w:p>
    <w:p>
      <w:pPr>
        <w:jc w:val="both"/>
        <w:ind w:left="180" w:right="360" w:hanging="172"/>
        <w:spacing w:after="0" w:line="251" w:lineRule="auto"/>
        <w:tabs>
          <w:tab w:leader="none" w:pos="183"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Projects in progress assets are measured at fair value on a non-recurring basis when events and circumstances indicate that their carrying value is not recoverable. The fair value of projects in progress is determined using Level 3 unobservable inputs. Refer to Note 9 for further discussion of our fair value measurements and hierarchy levels.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9" w:name="page60"/>
    <w:bookmarkEnd w:id="5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ranges or values of significant quantitative unobservable inputs we used in determining the fair value of the communities impaired during the period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320" w:type="dxa"/>
            <w:vAlign w:val="bottom"/>
          </w:tcPr>
          <w:p>
            <w:pPr>
              <w:spacing w:after="0"/>
              <w:rPr>
                <w:sz w:val="16"/>
                <w:szCs w:val="16"/>
                <w:color w:val="auto"/>
              </w:rPr>
            </w:pPr>
          </w:p>
        </w:tc>
      </w:tr>
      <w:tr>
        <w:trPr>
          <w:trHeight w:val="203"/>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32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Fiscal Year Ended September 30, 2025</w:t>
            </w:r>
          </w:p>
        </w:tc>
      </w:tr>
      <w:tr>
        <w:trPr>
          <w:trHeight w:val="23"/>
        </w:trPr>
        <w:tc>
          <w:tcPr>
            <w:tcW w:w="792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0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selling price</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$360 - $444</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Closings per community per month</w:t>
            </w:r>
          </w:p>
        </w:tc>
        <w:tc>
          <w:tcPr>
            <w:tcW w:w="3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1 - 6</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Land Held for Sale Impairments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Impairments on land held for sale generally represent write downs of these properties to fair value less cost to sell based on executed sales contracts, current sales prices for comparable assets in the area, recent market analysis studies, appraisals, recent legitimate offers and listing prices of similar properties, as applicable. Absent an executed sales contract, our assumptions related to land sales prices are based on factors known to us at the time such estimates are made and require significant judgment because the real estate market is highly sensitive to changes in economic conditions, and our estimates of sale prices could differ significantly from actual results.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fiscal year ended September 30, 2025, our reviews of various communities led to a decision to sell certain lots that no longer aligned with our strategic plans. As a result of changes in strategy, we reclassified 131 lots from projects in progress to land held for sale and recognized a land held for sale impairment charge of $2.7 million during the fiscal year ended September 30, 2025 related to communities in our Phoenix, San Antonio, and Houston markets. No land held for sale impairment charges were recognized during the fiscal years ended September 30, 2024 and 2023.</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by reportable segment and Corporate and unallocated, details of the impairment charges taken on land held for sale for the period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Results of Impairment Analysis</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tcPr>
          <w:p>
            <w:pPr>
              <w:jc w:val="center"/>
              <w:ind w:right="57"/>
              <w:spacing w:after="0" w:line="129" w:lineRule="exact"/>
              <w:rPr>
                <w:sz w:val="20"/>
                <w:szCs w:val="20"/>
                <w:color w:val="auto"/>
              </w:rPr>
            </w:pPr>
            <w:r>
              <w:rPr>
                <w:rFonts w:ascii="Times New Roman" w:cs="Times New Roman" w:eastAsia="Times New Roman" w:hAnsi="Times New Roman"/>
                <w:sz w:val="14"/>
                <w:szCs w:val="14"/>
                <w:b w:val="1"/>
                <w:bCs w:val="1"/>
                <w:color w:val="auto"/>
              </w:rPr>
              <w:t>Estimated Fair Value of</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of Communities Impaired</w:t>
            </w:r>
          </w:p>
        </w:tc>
        <w:tc>
          <w:tcPr>
            <w:tcW w:w="19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 of Lots Impaired</w:t>
            </w:r>
          </w:p>
        </w:tc>
        <w:tc>
          <w:tcPr>
            <w:tcW w:w="200" w:type="dxa"/>
            <w:vAlign w:val="bottom"/>
          </w:tcPr>
          <w:p>
            <w:pPr>
              <w:spacing w:after="0"/>
              <w:rPr>
                <w:sz w:val="11"/>
                <w:szCs w:val="11"/>
                <w:color w:val="auto"/>
              </w:rPr>
            </w:pPr>
          </w:p>
        </w:tc>
        <w:tc>
          <w:tcPr>
            <w:tcW w:w="1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Impairment Charge</w:t>
            </w:r>
          </w:p>
        </w:tc>
        <w:tc>
          <w:tcPr>
            <w:tcW w:w="1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Impaired Inventory at Time</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of Impairment</w:t>
            </w:r>
            <w:r>
              <w:rPr>
                <w:rFonts w:ascii="Times New Roman" w:cs="Times New Roman" w:eastAsia="Times New Roman" w:hAnsi="Times New Roman"/>
                <w:sz w:val="18"/>
                <w:szCs w:val="18"/>
                <w:b w:val="1"/>
                <w:bCs w:val="1"/>
                <w:color w:val="auto"/>
                <w:w w:val="99"/>
                <w:vertAlign w:val="superscript"/>
              </w:rPr>
              <w:t>(b)</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Fiscal Year Ended September 30, 2025</w:t>
            </w: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11,240</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unallocated</w:t>
            </w:r>
            <w:r>
              <w:rPr>
                <w:rFonts w:ascii="Times New Roman" w:cs="Times New Roman" w:eastAsia="Times New Roman" w:hAnsi="Times New Roman"/>
                <w:sz w:val="23"/>
                <w:szCs w:val="23"/>
                <w:color w:val="auto"/>
                <w:vertAlign w:val="superscript"/>
              </w:rPr>
              <w:t>(a)</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80" w:right="220" w:hanging="161"/>
        <w:spacing w:after="0" w:line="229" w:lineRule="auto"/>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Amount represents the capitalized interest and indirects balances that were impaired. Capitalized interest and indirects are maintained within Corporate and unallocated.</w:t>
      </w:r>
    </w:p>
    <w:p>
      <w:pPr>
        <w:spacing w:after="0" w:line="90" w:lineRule="exact"/>
        <w:rPr>
          <w:sz w:val="20"/>
          <w:szCs w:val="20"/>
          <w:color w:val="auto"/>
        </w:rPr>
      </w:pPr>
    </w:p>
    <w:p>
      <w:pPr>
        <w:ind w:left="180" w:right="220" w:hanging="172"/>
        <w:spacing w:after="0" w:line="251" w:lineRule="auto"/>
        <w:tabs>
          <w:tab w:leader="none" w:pos="183"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Land held for sale assets are measured at fair value less cost to sell on a non-recurring basis when events and circumstances indicate that their carrying value is not recoverable. The fair values of land held for sale assets are determined using Level 3 unobservable inputs. Refer to Note 9 for further discussion of our fair value measurements and hierarchy levels.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Abandonments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determine to abandon lots or not exercise certain option agreements that are not projected to produce adequate results or no longer fit with our long-term strategic plan. Additionally, in certain limited instances, we are forced to abandon lots due to seller non-performance, permitting or other regulatory issues that do not allow us to build on those lots. If we intend to no longer pursue the purchase of property, we record an abandonment charge to earnings for the non-refundable deposit amount and any related capitalized costs in the period such decision is made.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years ended September 30, 2025, 2024 and 2023, we recognized $1.6 million, $2.0 million and $0.6 million in abandonment charges, respectively. As we grow our business in the years ahead, the dollar value of abandonment charges may also grow.</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(5) Interest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capitalized during the fiscal years ended September 30, 2025, 2024 and 2023 was based upon the balance of inventory eligible for capitalization.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certain information regarding interest for the periods presented: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6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interest in inventory, beginning of period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124,182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109,088</w:t>
            </w:r>
          </w:p>
        </w:tc>
        <w:tc>
          <w:tcPr>
            <w:tcW w:w="0" w:type="dxa"/>
            <w:vAlign w:val="bottom"/>
          </w:tcPr>
          <w:p>
            <w:pPr>
              <w:spacing w:after="0"/>
              <w:rPr>
                <w:sz w:val="1"/>
                <w:szCs w:val="1"/>
                <w:color w:val="auto"/>
              </w:rPr>
            </w:pPr>
          </w:p>
        </w:tc>
      </w:tr>
      <w:tr>
        <w:trPr>
          <w:trHeight w:val="22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incurred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86,529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71,981</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interest impaired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spacing w:after="0" w:line="230" w:lineRule="exact"/>
              <w:rPr>
                <w:sz w:val="20"/>
                <w:szCs w:val="20"/>
                <w:color w:val="auto"/>
              </w:rPr>
            </w:pPr>
            <w:r>
              <w:rPr>
                <w:rFonts w:ascii="Times New Roman" w:cs="Times New Roman" w:eastAsia="Times New Roman" w:hAnsi="Times New Roman"/>
                <w:sz w:val="18"/>
                <w:szCs w:val="18"/>
                <w:color w:val="auto"/>
              </w:rPr>
              <w:t>Capitalized interest amortized to home construction and land sales expenses</w:t>
            </w:r>
            <w:r>
              <w:rPr>
                <w:rFonts w:ascii="Times New Roman" w:cs="Times New Roman" w:eastAsia="Times New Roman" w:hAnsi="Times New Roman"/>
                <w:sz w:val="23"/>
                <w:szCs w:val="23"/>
                <w:color w:val="auto"/>
                <w:vertAlign w:val="superscript"/>
              </w:rPr>
              <w:t>(a)</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(77,404)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(68,489)</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interest in inventory, end of period</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131,845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80" w:right="440" w:hanging="172"/>
        <w:spacing w:after="0" w:line="242" w:lineRule="auto"/>
        <w:tabs>
          <w:tab w:leader="none" w:pos="177"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Capitalized interest amortized to home construction and land sales expenses varies based on the number of homes closed during the period and land sales, if any, as well as other factors.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property and equipment as of September 30, 2025 and 2024:</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September 30, 2024</w:t>
            </w:r>
          </w:p>
        </w:tc>
      </w:tr>
      <w:tr>
        <w:trPr>
          <w:trHeight w:val="23"/>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Model furnishings and sales office improvements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32,179</w:t>
            </w:r>
          </w:p>
        </w:tc>
      </w:tr>
      <w:tr>
        <w:trPr>
          <w:trHeight w:val="22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Information systems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30,140</w:t>
            </w:r>
          </w:p>
        </w:tc>
      </w:tr>
      <w:tr>
        <w:trPr>
          <w:trHeight w:val="229"/>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15,447</w:t>
            </w:r>
          </w:p>
        </w:tc>
      </w:tr>
      <w:tr>
        <w:trPr>
          <w:trHeight w:val="23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r>
      <w:tr>
        <w:trPr>
          <w:trHeight w:val="229"/>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23"/>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95,058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82,374</w:t>
            </w:r>
          </w:p>
        </w:tc>
      </w:tr>
      <w:tr>
        <w:trPr>
          <w:trHeight w:val="230"/>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(43,746)</w:t>
            </w:r>
          </w:p>
        </w:tc>
      </w:tr>
      <w:tr>
        <w:trPr>
          <w:trHeight w:val="223"/>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47,945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38,628</w:t>
            </w:r>
          </w:p>
        </w:tc>
      </w:tr>
      <w:tr>
        <w:trPr>
          <w:trHeight w:val="20"/>
        </w:trPr>
        <w:tc>
          <w:tcPr>
            <w:tcW w:w="7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Borrowings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net of unamortized debt issuance costs consisted of the following as of September 30, 2025 and 2024: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6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20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September 30, 2024</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5.875% Senior Notes (2027 Notes)</w:t>
            </w:r>
          </w:p>
        </w:tc>
        <w:tc>
          <w:tcPr>
            <w:tcW w:w="1960" w:type="dxa"/>
            <w:vAlign w:val="bottom"/>
            <w:tcBorders>
              <w:top w:val="single" w:sz="8" w:color="auto"/>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October 2027</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357,255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7.250% Senior Notes (2029 Notes)</w:t>
            </w:r>
          </w:p>
        </w:tc>
        <w:tc>
          <w:tcPr>
            <w:tcW w:w="19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October 2029</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7.500% Senior Notes (2031 Notes)</w:t>
            </w:r>
          </w:p>
        </w:tc>
        <w:tc>
          <w:tcPr>
            <w:tcW w:w="196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March 2031</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9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(6,611)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Senior Notes, net</w:t>
            </w:r>
          </w:p>
        </w:tc>
        <w:tc>
          <w:tcPr>
            <w:tcW w:w="19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950,644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948,945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518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Junior Subordinated Notes (net of unamortized accretion of $22,303</w:t>
            </w: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78,470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and $24,369, respectively)</w:t>
            </w:r>
          </w:p>
        </w:tc>
        <w:tc>
          <w:tcPr>
            <w:tcW w:w="19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July 2036</w:t>
            </w:r>
          </w:p>
        </w:tc>
        <w:tc>
          <w:tcPr>
            <w:tcW w:w="200" w:type="dxa"/>
            <w:vAlign w:val="bottom"/>
          </w:tcPr>
          <w:p>
            <w:pPr>
              <w:spacing w:after="0"/>
              <w:rPr>
                <w:sz w:val="20"/>
                <w:szCs w:val="20"/>
                <w:color w:val="auto"/>
              </w:rPr>
            </w:pPr>
          </w:p>
        </w:tc>
        <w:tc>
          <w:tcPr>
            <w:tcW w:w="17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Unsecured Revolving Credit Facility</w:t>
            </w:r>
          </w:p>
        </w:tc>
        <w:tc>
          <w:tcPr>
            <w:tcW w:w="196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March 2028</w:t>
            </w:r>
          </w:p>
        </w:tc>
        <w:tc>
          <w:tcPr>
            <w:tcW w:w="2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debt, net</w:t>
            </w:r>
          </w:p>
        </w:tc>
        <w:tc>
          <w:tcPr>
            <w:tcW w:w="19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1,029,114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1,025,349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960" w:type="dxa"/>
            <w:vAlign w:val="bottom"/>
            <w:vMerge w:val="restart"/>
          </w:tcPr>
          <w:p>
            <w:pPr>
              <w:jc w:val="right"/>
              <w:ind w:right="1371"/>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As of September 30, 2025, the future maturities of our borrowings were as follows: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Ending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357,255</w:t>
            </w:r>
          </w:p>
        </w:tc>
      </w:tr>
      <w:tr>
        <w:trPr>
          <w:trHeight w:val="229"/>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350,000</w:t>
            </w:r>
          </w:p>
        </w:tc>
      </w:tr>
      <w:tr>
        <w:trPr>
          <w:trHeight w:val="229"/>
        </w:trPr>
        <w:tc>
          <w:tcPr>
            <w:tcW w:w="9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350,773</w:t>
            </w:r>
          </w:p>
        </w:tc>
      </w:tr>
      <w:tr>
        <w:trPr>
          <w:trHeight w:val="248"/>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1,058,028</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Revolving Credit Facility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Senior Unsecured Revolving Credit Facility (Unsecured Facility) provides working capital and letter of credit borrowing capacity. On January 28, 2025, the Company increased its available borrowing capacity under the Unsecured Facility from $300.0 million to $365.0 million. The $365.0 million capacity includes a letter of credit facility of up to $100.0 million. The Company also will have the right from time to time to request to increase the size of the commitments under the Unsecured Facility by up to $35.0 million for a maximum of $400.0 million. The Unsecured Facility terminates on March 15, 2028 (Termination Date), and the Company may borrow, repay, and reborrow amounts under the Unsecured Facility until the Termination Date.</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significant subsidiaries are full and unconditional guarantors of the Unsecured Facility and are jointly and severally liable for obligations under the Unsecured Facility.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we had no borrowings and $41.4 million in letters of credit outstanding under the Unsecured Facility, resulting in a remaining capacity of $323.6 million. The Unsecured Facility requires compliance with certain covenants, including affirmative covenants, negative covenants and financial covenants. As of September 30, 2025, the Company believes it was in compliance with all such covenants.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 of Credit Facilities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stand-alone letter of credit agreements with banks, secured with cash or certificates of deposit, to maintain pre-existing letters of credit and to provide for the issuance of new letters of credit (in addition to the letters of credit issued under the Unsecured Facility). As of September 30, 2025, the Company had no letters of credit outstanding under these additional facilities. As of September 30, 2024, the Company had $36.4 million outstanding letters of credit under these additional facilities. The Company may enter into additional arrangements to provide additional letter of credit capacity.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Senior Notes are unsecured obligations that rank equally in right of payment with all existing and future senior unsecured obligations, senior to all of the Company's existing and future subordinated indebtedness, and effectively subordinated to the Company's future secured indebtedness, to the extent of the value of the assets securing such indebtedness. Substantially all of the Company's significant subsidiaries are full and unconditional guarantors of the Senior Notes and are jointly and severally liable for obligations under the Senior Notes. Each guarantor subsidiary is a wholly owned subsidiary of Beazer Homes. The Senior Notes and related guarantees are structurally subordinated to all indebtedness and other liabilities of all of the Company's subsidiaries that do not guarantee these notes.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Senior Notes are issued under indentures that contain certain restrictive covenants which, among other things, restrict our ability to pay dividends, repurchase our common stock, incur certain types of additional indebtedness, and make certain investments. Compliance with the Senior Note covenants does not significantly impact the Company's operations. The Company believes it was in compliance with the covenants contained in the indentures of all of its Senior Notes as of September 30,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debt repurchases were made during the fiscal year ended September 30, 2025.</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September 30, 2024, we repurchased $202.2 million of our outstanding 2025 Notes using proceeds from the issuance of the 2031 Notes and cash on hand, resulting in a loss on extinguishment of debt of $0.4 million. The Company terminated, cancelled, and discharged all of its obligations under the 2025 Notes as of March 31,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2" w:name="page63"/>
    <w:bookmarkEnd w:id="62"/>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year ended September 30, 2023, we repurchased $9.0 million of our outstanding 2025 Notes using cash on hand, resulting in a net loss on extinguishment of debt of less than $0.1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redemption features, refer to the table below that summarizes the redemption terms of our Senior Notes: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Senior Note Description</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tcPr>
          <w:p>
            <w:pPr>
              <w:spacing w:after="0"/>
              <w:rPr>
                <w:sz w:val="16"/>
                <w:szCs w:val="16"/>
                <w:color w:val="auto"/>
              </w:rPr>
            </w:pPr>
          </w:p>
        </w:tc>
        <w:tc>
          <w:tcPr>
            <w:tcW w:w="596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color w:val="auto"/>
              </w:rPr>
              <w:t>Redemption Terms</w:t>
            </w:r>
          </w:p>
        </w:tc>
      </w:tr>
      <w:tr>
        <w:trPr>
          <w:trHeight w:val="23"/>
        </w:trPr>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r>
      <w:tr>
        <w:trPr>
          <w:trHeight w:val="169"/>
        </w:trPr>
        <w:tc>
          <w:tcPr>
            <w:tcW w:w="20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5.875% Senior Notes</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October 2017</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October 2027</w:t>
            </w:r>
          </w:p>
        </w:tc>
        <w:tc>
          <w:tcPr>
            <w:tcW w:w="100" w:type="dxa"/>
            <w:vAlign w:val="bottom"/>
            <w:shd w:val="clear" w:color="auto" w:fill="CCEEFF"/>
          </w:tcPr>
          <w:p>
            <w:pPr>
              <w:spacing w:after="0"/>
              <w:rPr>
                <w:sz w:val="14"/>
                <w:szCs w:val="14"/>
                <w:color w:val="auto"/>
              </w:rPr>
            </w:pPr>
          </w:p>
        </w:tc>
        <w:tc>
          <w:tcPr>
            <w:tcW w:w="59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Callable at any time prior to October 15, 2022, in whole or in part, at a</w:t>
            </w:r>
          </w:p>
        </w:tc>
      </w:tr>
      <w:tr>
        <w:trPr>
          <w:trHeight w:val="184"/>
        </w:trPr>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9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redemption price equal to 100.000% of the principal amount, plus a customary</w:t>
            </w:r>
          </w:p>
        </w:tc>
      </w:tr>
      <w:tr>
        <w:trPr>
          <w:trHeight w:val="180"/>
        </w:trPr>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make-whole premium; on or after October 15, 2022, callable at a redemption</w:t>
            </w:r>
          </w:p>
        </w:tc>
      </w:tr>
      <w:tr>
        <w:trPr>
          <w:trHeight w:val="176"/>
        </w:trPr>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price equal to 102.938% of the principal amount; on or after October 15, 2023,</w:t>
            </w:r>
          </w:p>
        </w:tc>
      </w:tr>
      <w:tr>
        <w:trPr>
          <w:trHeight w:val="184"/>
        </w:trPr>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9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callable at a redemption price equal to 101.958% of the principal amount; on or</w:t>
            </w:r>
          </w:p>
        </w:tc>
      </w:tr>
      <w:tr>
        <w:trPr>
          <w:trHeight w:val="180"/>
        </w:trPr>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after October 15, 2024, callable at a redemption price equal to 100.979% of the</w:t>
            </w:r>
          </w:p>
        </w:tc>
      </w:tr>
      <w:tr>
        <w:trPr>
          <w:trHeight w:val="176"/>
        </w:trPr>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principal amount; on or after October 15, 2025, callable at a redemption price</w:t>
            </w:r>
          </w:p>
        </w:tc>
      </w:tr>
      <w:tr>
        <w:trPr>
          <w:trHeight w:val="184"/>
        </w:trPr>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9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equal to 100.000% of the principal amount, plus, in each case, accrued and unpaid</w:t>
            </w:r>
          </w:p>
        </w:tc>
      </w:tr>
      <w:tr>
        <w:trPr>
          <w:trHeight w:val="234"/>
        </w:trPr>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r>
      <w:tr>
        <w:trPr>
          <w:trHeight w:val="176"/>
        </w:trPr>
        <w:tc>
          <w:tcPr>
            <w:tcW w:w="21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7.250% Senior Notes</w:t>
            </w:r>
          </w:p>
        </w:tc>
        <w:tc>
          <w:tcPr>
            <w:tcW w:w="16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September 2019</w:t>
            </w:r>
          </w:p>
        </w:tc>
        <w:tc>
          <w:tcPr>
            <w:tcW w:w="1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October 2029</w:t>
            </w:r>
          </w:p>
        </w:tc>
        <w:tc>
          <w:tcPr>
            <w:tcW w:w="100" w:type="dxa"/>
            <w:vAlign w:val="bottom"/>
          </w:tcPr>
          <w:p>
            <w:pPr>
              <w:spacing w:after="0"/>
              <w:rPr>
                <w:sz w:val="15"/>
                <w:szCs w:val="15"/>
                <w:color w:val="auto"/>
              </w:rPr>
            </w:pPr>
          </w:p>
        </w:tc>
        <w:tc>
          <w:tcPr>
            <w:tcW w:w="59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Callable at any time prior to October 15, 2024, in whole or in part, at a</w:t>
            </w:r>
          </w:p>
        </w:tc>
      </w:tr>
      <w:tr>
        <w:trPr>
          <w:trHeight w:val="184"/>
        </w:trPr>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redemption price equal to 100.000% of the principal amount, plus a customary</w:t>
            </w:r>
          </w:p>
        </w:tc>
      </w:tr>
      <w:tr>
        <w:trPr>
          <w:trHeight w:val="180"/>
        </w:trPr>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make-whole premium; on or after October 15, 2024, callable at a redemption</w:t>
            </w:r>
          </w:p>
        </w:tc>
      </w:tr>
      <w:tr>
        <w:trPr>
          <w:trHeight w:val="176"/>
        </w:trPr>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price equal to 103.625% of the principal amount; on or after October 15, 2025,</w:t>
            </w:r>
          </w:p>
        </w:tc>
      </w:tr>
      <w:tr>
        <w:trPr>
          <w:trHeight w:val="184"/>
        </w:trPr>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callable at a redemption price equal to 102.417% of the principal amount; on or</w:t>
            </w:r>
          </w:p>
        </w:tc>
      </w:tr>
      <w:tr>
        <w:trPr>
          <w:trHeight w:val="180"/>
        </w:trPr>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after October 15, 2026, callable at a redemption price equal to 101.208% of the</w:t>
            </w:r>
          </w:p>
        </w:tc>
      </w:tr>
      <w:tr>
        <w:trPr>
          <w:trHeight w:val="176"/>
        </w:trPr>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principal amount; on or after October 15, 2027, callable at a redemption price</w:t>
            </w:r>
          </w:p>
        </w:tc>
      </w:tr>
      <w:tr>
        <w:trPr>
          <w:trHeight w:val="184"/>
        </w:trPr>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equal to 100.000% of the principal amount, plus, in each case, accrued and unpaid</w:t>
            </w:r>
          </w:p>
        </w:tc>
      </w:tr>
      <w:tr>
        <w:trPr>
          <w:trHeight w:val="234"/>
        </w:trPr>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r>
      <w:tr>
        <w:trPr>
          <w:trHeight w:val="234"/>
        </w:trPr>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7.500% Senior Notes</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2024</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2031</w:t>
            </w:r>
          </w:p>
        </w:tc>
        <w:tc>
          <w:tcPr>
            <w:tcW w:w="100" w:type="dxa"/>
            <w:vAlign w:val="bottom"/>
            <w:shd w:val="clear" w:color="auto" w:fill="CCEEFF"/>
          </w:tcPr>
          <w:p>
            <w:pPr>
              <w:spacing w:after="0"/>
              <w:rPr>
                <w:sz w:val="20"/>
                <w:szCs w:val="20"/>
                <w:color w:val="auto"/>
              </w:rPr>
            </w:pPr>
          </w:p>
        </w:tc>
        <w:tc>
          <w:tcPr>
            <w:tcW w:w="5960" w:type="dxa"/>
            <w:vAlign w:val="bottom"/>
            <w:shd w:val="clear" w:color="auto" w:fill="CCEEFF"/>
          </w:tcPr>
          <w:p>
            <w:pPr>
              <w:spacing w:after="0"/>
              <w:rPr>
                <w:sz w:val="20"/>
                <w:szCs w:val="20"/>
                <w:color w:val="auto"/>
              </w:rPr>
            </w:pPr>
          </w:p>
        </w:tc>
      </w:tr>
      <w:tr>
        <w:trPr>
          <w:trHeight w:val="319"/>
        </w:trPr>
        <w:tc>
          <w:tcPr>
            <w:tcW w:w="2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or prior to March 15, 2027, we may redeem up to 35% of the aggregate</w:t>
            </w:r>
          </w:p>
        </w:tc>
      </w:tr>
      <w:tr>
        <w:trPr>
          <w:trHeight w:val="184"/>
        </w:trPr>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9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principal amount of the 2031 Notes with the net cash proceeds of certain equity</w:t>
            </w:r>
          </w:p>
        </w:tc>
      </w:tr>
      <w:tr>
        <w:trPr>
          <w:trHeight w:val="180"/>
        </w:trPr>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offerings at a redemption price equal to 107.500% of the principal amount, plus</w:t>
            </w:r>
          </w:p>
        </w:tc>
      </w:tr>
      <w:tr>
        <w:trPr>
          <w:trHeight w:val="176"/>
        </w:trPr>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accrued and unpaid interest to, but excluding, the redemption date, provided at</w:t>
            </w:r>
          </w:p>
        </w:tc>
      </w:tr>
      <w:tr>
        <w:trPr>
          <w:trHeight w:val="184"/>
        </w:trPr>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9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least 65% of the aggregate principal amount of the 2031 Notes originally issued</w:t>
            </w:r>
          </w:p>
        </w:tc>
      </w:tr>
      <w:tr>
        <w:trPr>
          <w:trHeight w:val="234"/>
        </w:trPr>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remains outstanding immediately after such redemption.</w:t>
            </w:r>
          </w:p>
        </w:tc>
      </w:tr>
      <w:tr>
        <w:trPr>
          <w:trHeight w:val="175"/>
        </w:trPr>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Callable at any time prior to March 15, 2027, in whole or in part, at a redemption</w:t>
            </w:r>
          </w:p>
        </w:tc>
      </w:tr>
      <w:tr>
        <w:trPr>
          <w:trHeight w:val="184"/>
        </w:trPr>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9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price equal to 100.000% of the principal amount, plus a customary make-whole</w:t>
            </w:r>
          </w:p>
        </w:tc>
      </w:tr>
      <w:tr>
        <w:trPr>
          <w:trHeight w:val="180"/>
        </w:trPr>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premium; on or after March 15, 2027, callable at a redemption price equal to</w:t>
            </w:r>
          </w:p>
        </w:tc>
      </w:tr>
      <w:tr>
        <w:trPr>
          <w:trHeight w:val="175"/>
        </w:trPr>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103.750% of the principal amount; on or after March 15, 2028, callable at a</w:t>
            </w:r>
          </w:p>
        </w:tc>
      </w:tr>
      <w:tr>
        <w:trPr>
          <w:trHeight w:val="184"/>
        </w:trPr>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9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redemption price equal to 101.875% of the principal amount; on or after March</w:t>
            </w:r>
          </w:p>
        </w:tc>
      </w:tr>
      <w:tr>
        <w:trPr>
          <w:trHeight w:val="180"/>
        </w:trPr>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9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15, 2029, callable at a redemption price equal to 100.000% of the principal</w:t>
            </w:r>
          </w:p>
        </w:tc>
      </w:tr>
      <w:tr>
        <w:trPr>
          <w:trHeight w:val="234"/>
        </w:trPr>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plus, in each case, accrued and unpaid interest.</w:t>
            </w:r>
          </w:p>
        </w:tc>
      </w:tr>
      <w:tr>
        <w:trPr>
          <w:trHeight w:val="400"/>
        </w:trPr>
        <w:tc>
          <w:tcPr>
            <w:tcW w:w="2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960" w:type="dxa"/>
            <w:vAlign w:val="bottom"/>
            <w:shd w:val="clear" w:color="auto" w:fill="CCEEFF"/>
          </w:tcPr>
          <w:p>
            <w:pPr>
              <w:spacing w:after="0"/>
              <w:rPr>
                <w:sz w:val="24"/>
                <w:szCs w:val="24"/>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Junior Subordinated Notes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unsecured junior subordinated notes (Junior Subordinated Notes) mature on July 30, 2036 and have an aggregate principal balance of $100.8 million as of September 30, 2025. The securities have a floating interest rate as defined in the Junior Subordinated Notes Indentures, which was a weighted-average of 7.02% as of September 30, 2025. The obligations relating to these notes are subordinated to the Unsecured Facility and the Senior Notes. In January 2010, the Company restructured $75.0 million of these notes (Restructured Notes) and recorded them at their then estimated fair value. Over the remaining life of the Restructured Notes, we will increase their carrying value until this carrying value equals the face value of the notes. As of September 30, 2025, the unamortized accretion was $22.3 million and will be amortized over the remaining life of the Restructured Notes. The remaining $25.8 million of the Junior Subordinated Notes are subject to the terms of the original agreement, have a floating interest rate equal to a three-month SOFR plus 2.71% per annum, resetting quarterly, and are redeemable in whole or in part at par value. The material terms of the $75.0 million Restructured Notes are identical to the terms of the original agreement except that the floating interest rate is subject to a floor of 4.25% and a cap of 9.25%. In addition, beginning on June 1, 2012, the Company has the option to redeem the $75.0 million principal balance in whole or in part at 75% of par value, and beginning on June 1, 2022, the redemption price has increased by 1.785% annually. As of September 30, 2025, the Company believes it was in compliance with all covenants under the Junior Subordinated Notes.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(8) Contingencies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Beazer Homes and certain of its subsidiaries have been and continue to be named as defendants in various construction defect claims, complaints, and other legal actions. The Company is subject to the possibility of loss contingencies related to these alleged defects as well as others arising from its business. In determining loss contingencies, we consider the likelihood of loss and our ability to reasonably estimate the amount of such loss. An estimated loss is recorded when it is considered probable that a liability has been incurred and the amount of loss can be reasonably estimated.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Reserves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provide a limited warranty ranging from one to two years covering workmanship and materials per our defined quality standards. In addition, we provide a limited warranty for up to ten years covering certain defined structural element failures.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Warranty reserves are included in other liabilities within the consolidated balance sheets, and the provision for warranty accruals is included in home construction expenses in the consolidated statements of operations. Reserves covering anticipated warranty expenses are recorded for each home closed, which are a function of the number of home closings in the period, the selling prices of the homes closed and the rates of accrual per home estimated as a percentage of the selling price of the home. Management assesses the adequacy of warranty reserves each reporting period based on historical experience and the expected costs to remediate potential claims. Our review includes a quarterly analysis of the historical data and trends in warranty expense by division. An analysis by division allows us to consider market specific factors such as warranty experience, the number of home closings, the selling prices of homes, product mix, and other data in estimating warranty reserves. In addition, the analysis also contemplates the existence of any non-recurring or community-specific warranty-related matters that might not be included in historical data and trends that may need to be separately estimated based on management's judgment of the ultimate cost of repair for that specific issue. While estimated warranty liabilities are adjusted each reporting period based on the results of our quarterly analyses, we may not accurately predict actual warranty costs, which could lead to significant changes in the reserve.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warranty reserves are as follows for the periods presented:</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12,717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provision</w:t>
            </w:r>
          </w:p>
        </w:tc>
        <w:tc>
          <w:tcPr>
            <w:tcW w:w="340" w:type="dxa"/>
            <w:vAlign w:val="bottom"/>
          </w:tcPr>
          <w:p>
            <w:pPr>
              <w:spacing w:after="0"/>
              <w:rPr>
                <w:sz w:val="19"/>
                <w:szCs w:val="19"/>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10,337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expenditures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w w:val="98"/>
              </w:rPr>
              <w:t>(9,490)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(10,552)</w:t>
            </w:r>
          </w:p>
        </w:tc>
        <w:tc>
          <w:tcPr>
            <w:tcW w:w="0" w:type="dxa"/>
            <w:vAlign w:val="bottom"/>
          </w:tcPr>
          <w:p>
            <w:pPr>
              <w:spacing w:after="0"/>
              <w:rPr>
                <w:sz w:val="1"/>
                <w:szCs w:val="1"/>
                <w:color w:val="auto"/>
              </w:rPr>
            </w:pPr>
          </w:p>
        </w:tc>
      </w:tr>
      <w:tr>
        <w:trPr>
          <w:trHeight w:val="223"/>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13,564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13,046</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homebuilding work is performed by subcontractors who typically must agree to indemnify us with regard to their work and provide certificates of insurance demonstrating that they have met our insurance requirements and have named us as an additional insured under their policies. Therefore, many claims relating to workmanship and materials that result in warranty spending are the primary responsibility of these subcontractors. In addition, we maintain third-party insurance policies that provide for the reimbursement of certain warranty costs incurred in the normal course of business, subject to applicable self-insured retentions. Amounts recorded for anticipated insurance and other third-party recoveries are reflected within the consolidated statements of operations as a reduction to home construction expense, if applicable. Anticipated recoveries not yet received from our insurer or other third-parties are recorded within accounts receivable on our consolidated balance sheets, if applicable.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warranty and litigation accruals and third-party insurance are adequate to cover the ultimate resolution of our potential liabilities associated with known and anticipated warranty and construction-defect related claims and litigation. However, there can be no assurance that the terms and limitations of the limited warranty will be effective against claims made by homebuyers; that we will be able to renew our insurance coverage or renew it at reasonable rates; that we will not be liable for damages, the cost of repairs, and/or the expense of litigation surrounding possible construction defects, soil subsidence, or building related claims; or that claims will not arise out of events or circumstances not covered by insurance and/or not subject to effective indemnification agreements with our subcontractors.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and certain of our subsidiaries are subject to various lawsuits and have been named as defendants in various claims, complaints, and other legal actions, most relating to construction defects, moisture intrusion, and product liability. Certain of the liabilities resulting from these actions are covered in whole or in part by insurance. We cannot predict or determine the timing or final outcome of these lawsuits or the effect that any adverse findings or determinations in pending lawsuits may have on us. In addition, an estimate of possible loss or range of loss, if any, cannot presently be made with respect to certain of these pending matters. An unfavorable determination in pending lawsuits could result in the payment by us of substantial monetary damages that may not be fully covered by insurance. Further, the legal costs associated with the lawsuits and the amount of time required to be spent by management and our Board of Directors on these matters, even if we are ultimately successful, could have a material adverse effect on our financial condition, results of operations, or cash flows.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accrual of $9.9 million and $9.3 million in other liabilities on our consolidated balance sheets related to litigation matters as of September 30, 2025 and 2024,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Surety Bonds and Letters of Credit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outstanding letters of credit, surety bonds, and surety-backed letters of credit of $41.4 million, $321.9 million, and $2.4 million, respectively, as of September 30, 2025, related principally to our obligations to local governments to construct roads and other improvements in various developments.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dates presented, we had assets on our consolidated balance sheets that were required to be measured at fair value on a recurring or non-recurring basis. We use a fair value hierarchy that requires us to maximize the use of observable inputs and minimize the use of unobservable inputs when measuring fair value as follows:</w:t>
      </w:r>
    </w:p>
    <w:p>
      <w:pPr>
        <w:spacing w:after="0" w:line="12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in Level 1 that are observable either directly or indirectly through corroboration with market data;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reflect our own estimates about the assumptions market participants would use in pricing the asset or liability.</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assets are required to be recorded at fair value on a non-recurring basis when events and circumstances indicate that the carrying value of these assets may not be recoverable. We review our long-lived assets, including inventory, for recoverability when factors indicate an impairment may exist, but no less than quarterly. The fair value of assets deemed to be impaired is determined based upon the type of asset being evaluated. The fair value of our owned inventory assets, when required to be calculated, is further discussed within Notes 2 and 4. Due to the substantial use of unobservable inputs in valuing the assets on a non-recurring basis, they are classified within Level 3.</w:t>
      </w:r>
    </w:p>
    <w:p>
      <w:pPr>
        <w:spacing w:after="0" w:line="1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Determining within which hierarchical level an asset or liability falls requires significant judgment. We evaluate our hierarchy disclosures each quarter. The following table presents the period-end balances of assets measured at fair value on a recurring basis for each hierarchy level:</w:t>
      </w:r>
    </w:p>
    <w:tbl>
      <w:tblPr>
        <w:tblLayout w:type="fixed"/>
        <w:tblInd w:w="0" w:type="dxa"/>
        <w:tblCellMar>
          <w:top w:w="0" w:type="dxa"/>
          <w:left w:w="0" w:type="dxa"/>
          <w:bottom w:w="0" w:type="dxa"/>
          <w:right w:w="0" w:type="dxa"/>
        </w:tblCellMar>
      </w:tblPr>
      <w:tr>
        <w:trPr>
          <w:trHeight w:val="190"/>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4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b w:val="1"/>
                <w:bCs w:val="1"/>
                <w:color w:val="auto"/>
              </w:rPr>
              <w:t>Deferred compensation plan assets</w:t>
            </w:r>
            <w:r>
              <w:rPr>
                <w:rFonts w:ascii="Times New Roman" w:cs="Times New Roman" w:eastAsia="Times New Roman" w:hAnsi="Times New Roman"/>
                <w:sz w:val="23"/>
                <w:szCs w:val="23"/>
                <w:b w:val="1"/>
                <w:bCs w:val="1"/>
                <w:color w:val="auto"/>
                <w:vertAlign w:val="superscript"/>
              </w:rPr>
              <w:t>(a)</w:t>
            </w: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8,661</w:t>
            </w:r>
          </w:p>
        </w:tc>
        <w:tc>
          <w:tcPr>
            <w:tcW w:w="100" w:type="dxa"/>
            <w:vAlign w:val="bottom"/>
          </w:tcPr>
          <w:p>
            <w:pPr>
              <w:spacing w:after="0"/>
              <w:rPr>
                <w:sz w:val="19"/>
                <w:szCs w:val="19"/>
                <w:color w:val="auto"/>
              </w:rPr>
            </w:pP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855"/>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8,661</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September 30, 2024</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4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Deferred compensation plan assets</w:t>
            </w:r>
            <w:r>
              <w:rPr>
                <w:rFonts w:ascii="Times New Roman" w:cs="Times New Roman" w:eastAsia="Times New Roman" w:hAnsi="Times New Roman"/>
                <w:sz w:val="23"/>
                <w:szCs w:val="23"/>
                <w:color w:val="auto"/>
                <w:vertAlign w:val="superscript"/>
              </w:rPr>
              <w:t>(a)</w:t>
            </w: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8,115</w:t>
            </w:r>
          </w:p>
        </w:tc>
        <w:tc>
          <w:tcPr>
            <w:tcW w:w="100" w:type="dxa"/>
            <w:vAlign w:val="bottom"/>
          </w:tcPr>
          <w:p>
            <w:pPr>
              <w:spacing w:after="0"/>
              <w:rPr>
                <w:sz w:val="19"/>
                <w:szCs w:val="19"/>
                <w:color w:val="auto"/>
              </w:rPr>
            </w:pP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September 30, 2023</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306"/>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 assets</w:t>
            </w:r>
            <w:r>
              <w:rPr>
                <w:rFonts w:ascii="Times New Roman" w:cs="Times New Roman" w:eastAsia="Times New Roman" w:hAnsi="Times New Roman"/>
                <w:sz w:val="23"/>
                <w:szCs w:val="23"/>
                <w:color w:val="auto"/>
                <w:vertAlign w:val="superscript"/>
              </w:rPr>
              <w:t>(a)</w:t>
            </w:r>
          </w:p>
        </w:tc>
        <w:tc>
          <w:tcPr>
            <w:tcW w:w="94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6,495</w:t>
            </w:r>
          </w:p>
        </w:tc>
        <w:tc>
          <w:tcPr>
            <w:tcW w:w="100" w:type="dxa"/>
            <w:vAlign w:val="bottom"/>
          </w:tcPr>
          <w:p>
            <w:pPr>
              <w:spacing w:after="0"/>
              <w:rPr>
                <w:sz w:val="24"/>
                <w:szCs w:val="24"/>
                <w:color w:val="auto"/>
              </w:rPr>
            </w:pP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w:t>
            </w:r>
          </w:p>
        </w:tc>
      </w:tr>
    </w:tbl>
    <w:p>
      <w:pPr>
        <w:spacing w:after="0" w:line="107" w:lineRule="exact"/>
        <w:rPr>
          <w:sz w:val="20"/>
          <w:szCs w:val="20"/>
          <w:color w:val="auto"/>
        </w:rPr>
      </w:pPr>
    </w:p>
    <w:p>
      <w:pPr>
        <w:ind w:left="160" w:hanging="152"/>
        <w:spacing w:after="0"/>
        <w:tabs>
          <w:tab w:leader="none" w:pos="160"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Amount is included in other assets within the consolidated balance sheets.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cash and cash equivalents, restricted cash, accounts receivable, trade accounts payable, other liabilities, and amounts due under the Unsecured Facility (if outstanding) approximate their carrying amounts due to the short maturity of these assets and liabilities. When outstanding, obligations related to land not owned under option agreements approximate fair value.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The following table presents the carrying value and estimated fair value of certain other financial assets and liabilities as of September 30, 2025 and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280" w:type="dxa"/>
            <w:vAlign w:val="bottom"/>
          </w:tcPr>
          <w:p>
            <w:pPr>
              <w:spacing w:after="0"/>
              <w:rPr>
                <w:sz w:val="16"/>
                <w:szCs w:val="16"/>
                <w:color w:val="auto"/>
              </w:rPr>
            </w:pPr>
          </w:p>
        </w:tc>
        <w:tc>
          <w:tcPr>
            <w:tcW w:w="270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color w:val="auto"/>
              </w:rPr>
              <w:t>As of September 30, 2024</w:t>
            </w: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1"/>
                <w:szCs w:val="11"/>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1"/>
                <w:szCs w:val="11"/>
                <w:color w:val="auto"/>
              </w:rPr>
            </w:pPr>
          </w:p>
        </w:tc>
        <w:tc>
          <w:tcPr>
            <w:tcW w:w="126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color w:val="auto"/>
              </w:rPr>
              <w:t>Carrying</w:t>
            </w:r>
          </w:p>
        </w:tc>
        <w:tc>
          <w:tcPr>
            <w:tcW w:w="260" w:type="dxa"/>
            <w:vAlign w:val="bottom"/>
          </w:tcPr>
          <w:p>
            <w:pPr>
              <w:spacing w:after="0"/>
              <w:rPr>
                <w:sz w:val="11"/>
                <w:szCs w:val="11"/>
                <w:color w:val="auto"/>
              </w:rPr>
            </w:pPr>
          </w:p>
        </w:tc>
        <w:tc>
          <w:tcPr>
            <w:tcW w:w="118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95"/>
        </w:trPr>
        <w:tc>
          <w:tcPr>
            <w:tcW w:w="51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Amount</w:t>
            </w: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Certificates of deposit</w:t>
            </w:r>
            <w:r>
              <w:rPr>
                <w:rFonts w:ascii="Times New Roman" w:cs="Times New Roman" w:eastAsia="Times New Roman" w:hAnsi="Times New Roman"/>
                <w:sz w:val="23"/>
                <w:szCs w:val="23"/>
                <w:color w:val="auto"/>
                <w:vertAlign w:val="superscript"/>
              </w:rPr>
              <w:t>(a)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Financial liabilities</w:t>
            </w:r>
            <w:r>
              <w:rPr>
                <w:rFonts w:ascii="Times New Roman" w:cs="Times New Roman" w:eastAsia="Times New Roman" w:hAnsi="Times New Roman"/>
                <w:sz w:val="23"/>
                <w:szCs w:val="23"/>
                <w:color w:val="auto"/>
                <w:vertAlign w:val="superscript"/>
              </w:rPr>
              <w:t>(b)</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Senior Notes</w:t>
            </w:r>
            <w:r>
              <w:rPr>
                <w:rFonts w:ascii="Times New Roman" w:cs="Times New Roman" w:eastAsia="Times New Roman" w:hAnsi="Times New Roman"/>
                <w:sz w:val="23"/>
                <w:szCs w:val="23"/>
                <w:color w:val="auto"/>
                <w:vertAlign w:val="superscript"/>
              </w:rPr>
              <w:t>(c)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950,644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968,634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948,945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976,494</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Junior Subordinated Notes</w:t>
            </w:r>
            <w:r>
              <w:rPr>
                <w:rFonts w:ascii="Times New Roman" w:cs="Times New Roman" w:eastAsia="Times New Roman" w:hAnsi="Times New Roman"/>
                <w:sz w:val="23"/>
                <w:szCs w:val="23"/>
                <w:color w:val="auto"/>
                <w:vertAlign w:val="superscript"/>
              </w:rPr>
              <w:t>(d)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76,404</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1,047,104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1,052,898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80" w:right="140" w:hanging="172"/>
        <w:spacing w:after="0" w:line="255" w:lineRule="auto"/>
        <w:tabs>
          <w:tab w:leader="none" w:pos="175"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Certificates of deposit held for investment with an original maturity greater than three months are carried at original cost plus accrued interest and reported as other assets on the condensed consolidated balance sheets. The type of certificates of deposit that the Company invests in are not considered debt securities under ASC Topic 320, </w:t>
      </w:r>
      <w:r>
        <w:rPr>
          <w:rFonts w:ascii="Times New Roman" w:cs="Times New Roman" w:eastAsia="Times New Roman" w:hAnsi="Times New Roman"/>
          <w:sz w:val="17"/>
          <w:szCs w:val="17"/>
          <w:i w:val="1"/>
          <w:iCs w:val="1"/>
          <w:color w:val="auto"/>
        </w:rPr>
        <w:t>Investments - Debt Securities</w:t>
      </w:r>
      <w:r>
        <w:rPr>
          <w:rFonts w:ascii="Times New Roman" w:cs="Times New Roman" w:eastAsia="Times New Roman" w:hAnsi="Times New Roman"/>
          <w:sz w:val="17"/>
          <w:szCs w:val="17"/>
          <w:color w:val="auto"/>
        </w:rPr>
        <w:t>. The estimated fair value of our certificates of deposit has been determined using quoted market rates (Level 2).</w:t>
      </w:r>
    </w:p>
    <w:p>
      <w:pPr>
        <w:spacing w:after="0" w:line="61"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Carrying amounts for financial liabilities are net of unamortized debt issuance costs o</w:t>
      </w:r>
      <w:r>
        <w:rPr>
          <w:rFonts w:ascii="Times New Roman" w:cs="Times New Roman" w:eastAsia="Times New Roman" w:hAnsi="Times New Roman"/>
          <w:sz w:val="17"/>
          <w:szCs w:val="17"/>
          <w:color w:val="0A2299"/>
        </w:rPr>
        <w:t>r</w:t>
      </w:r>
      <w:r>
        <w:rPr>
          <w:rFonts w:ascii="Times New Roman" w:cs="Times New Roman" w:eastAsia="Times New Roman" w:hAnsi="Times New Roman"/>
          <w:sz w:val="17"/>
          <w:szCs w:val="17"/>
          <w:color w:val="auto"/>
        </w:rPr>
        <w:t xml:space="preserve"> accretion.</w:t>
      </w:r>
    </w:p>
    <w:p>
      <w:pPr>
        <w:spacing w:after="0" w:line="89" w:lineRule="exact"/>
        <w:rPr>
          <w:rFonts w:ascii="Times New Roman" w:cs="Times New Roman" w:eastAsia="Times New Roman" w:hAnsi="Times New Roman"/>
          <w:sz w:val="22"/>
          <w:szCs w:val="22"/>
          <w:color w:val="auto"/>
          <w:vertAlign w:val="superscript"/>
        </w:rPr>
      </w:pPr>
    </w:p>
    <w:p>
      <w:pPr>
        <w:ind w:left="160" w:hanging="152"/>
        <w:spacing w:after="0"/>
        <w:tabs>
          <w:tab w:leader="none" w:pos="1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estimated fair value of our publicly-held Senior Notes has been determined using quoted market rates (Level 2).</w:t>
      </w:r>
    </w:p>
    <w:p>
      <w:pPr>
        <w:spacing w:after="0" w:line="94" w:lineRule="exact"/>
        <w:rPr>
          <w:rFonts w:ascii="Times New Roman" w:cs="Times New Roman" w:eastAsia="Times New Roman" w:hAnsi="Times New Roman"/>
          <w:sz w:val="20"/>
          <w:szCs w:val="20"/>
          <w:color w:val="auto"/>
          <w:vertAlign w:val="superscript"/>
        </w:rPr>
      </w:pPr>
    </w:p>
    <w:p>
      <w:pPr>
        <w:jc w:val="both"/>
        <w:ind w:left="180" w:hanging="172"/>
        <w:spacing w:after="0" w:line="239" w:lineRule="auto"/>
        <w:tabs>
          <w:tab w:leader="none" w:pos="224"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Since there is no trading market for our Junior Subordinated Notes, the fair value of these notes is estimated by discounting scheduled cash flows through maturity (Level 3). The discount rate is estimated using market rates currently being offered on loans with similar terms and credit quality. Judgment is required in interpreting market data to develop these estimates of fair value. Accordingly, the estimates presented herein are not necessarily indicative of the amounts that we could realize in a current market exchange.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Operating Leases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certain office space and equipment under operating leases for use in our operations. We recognize operating lease expense on a straight-line basis over the lease term. Certain of our lease agreements include one or more options to renew. The exercise of lease renewal options is generally at our discretion. Variable lease expense primarily relates to maintenance and other monthly expense that do not depend on an index or rate.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determine if an arrangement is a lease at contract inception. Lease and non-lease components are accounted for as a single component for all leases. Operating lease right to use assets and liabilities are recognized at the lease commencement date based on the present value of the future lease payments over the expected lease term, which includes optional renewal periods if we determine it is reasonably certain that the option will be exercised. As our leases do not provide an implicit rate, the discount rate used in the present value calculation represents our incremental borrowing rate determined using information available at the commencement date.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lease expense is included as a component of general and administrative expenses in our consolidated statements of operations. Sublease income and variable lease expenses are de minimis. For the fiscal years ended September 30, 2025, 2024 and 2023, we recorded operating lease expense of $4.7 million, $4.4 million and $4.0 million, respectively. Cash payments on lease liabilities during the fiscal years ended September 30, 2025, 2024 and 2023 totaled $4.6 million, $4.2 million and $4.3 million, respectively.</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fiscal year ended September 30, 2025, the Company executed a model sale-leaseback transaction involving the sale of 83 model homes, which were immediately leased back for terms ranging from 12 to 54 months. The Company determined that control of the model homes transferred to the buyer and the transaction qualified as a sale. The model sale-leaseback transaction generated homebuilding revenue of $45.0 million, home construction expense of $38.3 million, and cash proceeds of $36.2 million. The transaction revenue reflected the estimated fair value of the model homes, which exceeded the cash proceeds by $8.8 million. This difference was recognized as a prepayment of rent. The model home leases from the transaction are accounted for as operating leases and the Company recorded total right-of-use assets and lease liabilities of $16.5 million and $7.7 million, respectively, at the time of the transaction in the accompanying consolidated balance sheets.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At September 30, 2025 and 2024, weighted-average remaining lease term and discount rate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3"/>
        </w:trPr>
        <w:tc>
          <w:tcPr>
            <w:tcW w:w="74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r>
      <w:tr>
        <w:trPr>
          <w:trHeight w:val="190"/>
        </w:trPr>
        <w:tc>
          <w:tcPr>
            <w:tcW w:w="7420" w:type="dxa"/>
            <w:vAlign w:val="bottom"/>
          </w:tcPr>
          <w:p>
            <w:pPr>
              <w:spacing w:after="0"/>
              <w:rPr>
                <w:sz w:val="16"/>
                <w:szCs w:val="16"/>
                <w:color w:val="auto"/>
              </w:rPr>
            </w:pPr>
          </w:p>
        </w:tc>
        <w:tc>
          <w:tcPr>
            <w:tcW w:w="13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40" w:type="dxa"/>
            <w:vAlign w:val="bottom"/>
            <w:gridSpan w:val="3"/>
          </w:tcPr>
          <w:p>
            <w:pPr>
              <w:jc w:val="right"/>
              <w:ind w:right="690"/>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3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5.0 years</w:t>
            </w:r>
          </w:p>
        </w:tc>
        <w:tc>
          <w:tcPr>
            <w:tcW w:w="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6.6 years</w:t>
            </w:r>
          </w:p>
        </w:tc>
      </w:tr>
      <w:tr>
        <w:trPr>
          <w:trHeight w:val="238"/>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4.64%</w:t>
            </w:r>
          </w:p>
        </w:tc>
        <w:tc>
          <w:tcPr>
            <w:tcW w:w="244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6.30%</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maturity analysis of the annual undiscounted cash flows reconciled to the carrying value of the operating lease liabilities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Ending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33655</wp:posOffset>
            </wp:positionV>
            <wp:extent cx="71151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5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8,738</w:t>
            </w:r>
          </w:p>
        </w:tc>
        <w:tc>
          <w:tcPr>
            <w:tcW w:w="4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1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7,025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5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4,682</w:t>
            </w:r>
          </w:p>
        </w:tc>
        <w:tc>
          <w:tcPr>
            <w:tcW w:w="4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2029</w:t>
            </w:r>
          </w:p>
        </w:tc>
        <w:tc>
          <w:tcPr>
            <w:tcW w:w="1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5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3,080</w:t>
            </w:r>
          </w:p>
        </w:tc>
        <w:tc>
          <w:tcPr>
            <w:tcW w:w="4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5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32,924</w:t>
            </w:r>
          </w:p>
        </w:tc>
        <w:tc>
          <w:tcPr>
            <w:tcW w:w="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imputed interest</w:t>
            </w:r>
          </w:p>
        </w:tc>
        <w:tc>
          <w:tcPr>
            <w:tcW w:w="15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5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27,762</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Other Liabilities</w:t>
            </w: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44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 include the following as of September 30, 2025 and 2024:</w:t>
            </w: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September 30, 2024</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compensations and benefits</w:t>
            </w:r>
          </w:p>
        </w:tc>
        <w:tc>
          <w:tcPr>
            <w:tcW w:w="15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Warranty reserves</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accruals</w:t>
            </w:r>
          </w:p>
        </w:tc>
        <w:tc>
          <w:tcPr>
            <w:tcW w:w="1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liabilities</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160,445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58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(benefit) expense from income taxes from continuing operations consists of the following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40" w:type="dxa"/>
            <w:vAlign w:val="bottom"/>
            <w:gridSpan w:val="6"/>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federal</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state</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federal</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18,997</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state</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(benefit) expense from income taxes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Company's (benefit) expense from income taxes from continuing operations differs from the amount computed by applying the federal income tax statutory rate as follows for the periods presented:</w:t>
      </w: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40" w:type="dxa"/>
            <w:vAlign w:val="bottom"/>
            <w:gridSpan w:val="6"/>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computed at statutory rate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38,356</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(20,287)</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rate change</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(benefit) expense from income taxes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23,958</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principal differences between our effective tax rate and the U.S. federal statutory rate for fiscal years 2025, 2024 and 2023 relate to state taxes, permanent differences and tax credits. Due to the effects of tax credits, our income tax (benefit) expense is not always directly correlated to the amount of pre-tax income for the associated periods.</w:t>
      </w:r>
    </w:p>
    <w:p>
      <w:pPr>
        <w:spacing w:after="0" w:line="1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our assets and liabilities for financial reporting purposes and the amounts used for income tax purposes. The tax effects of significant temporary differences that give rise to the net deferred tax assets are as follows as of September 30, 2025 and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September 30, 2024</w:t>
            </w:r>
          </w:p>
        </w:tc>
        <w:tc>
          <w:tcPr>
            <w:tcW w:w="0" w:type="dxa"/>
            <w:vAlign w:val="bottom"/>
          </w:tcPr>
          <w:p>
            <w:pPr>
              <w:spacing w:after="0"/>
              <w:rPr>
                <w:sz w:val="1"/>
                <w:szCs w:val="1"/>
                <w:color w:val="auto"/>
              </w:rPr>
            </w:pPr>
          </w:p>
        </w:tc>
      </w:tr>
      <w:tr>
        <w:trPr>
          <w:trHeight w:val="23"/>
        </w:trPr>
        <w:tc>
          <w:tcPr>
            <w:tcW w:w="518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 and state net operating loss and tax credit carryforwards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140,962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 adjustments</w:t>
            </w:r>
          </w:p>
        </w:tc>
        <w:tc>
          <w:tcPr>
            <w:tcW w:w="2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equipment and other assets</w:t>
            </w: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Warranty and other reserves</w:t>
            </w:r>
          </w:p>
        </w:tc>
        <w:tc>
          <w:tcPr>
            <w:tcW w:w="2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Incentive compensation</w:t>
            </w: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Uncertain tax positions</w:t>
            </w:r>
          </w:p>
        </w:tc>
        <w:tc>
          <w:tcPr>
            <w:tcW w:w="2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188,160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Valuation allowance</w:t>
            </w:r>
          </w:p>
        </w:tc>
        <w:tc>
          <w:tcPr>
            <w:tcW w:w="24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152,402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80" w:type="dxa"/>
            <w:vAlign w:val="bottom"/>
            <w:vMerge w:val="continue"/>
          </w:tcPr>
          <w:p>
            <w:pPr>
              <w:spacing w:after="0"/>
              <w:rPr>
                <w:sz w:val="15"/>
                <w:szCs w:val="15"/>
                <w:color w:val="auto"/>
              </w:rPr>
            </w:pPr>
          </w:p>
        </w:tc>
        <w:tc>
          <w:tcPr>
            <w:tcW w:w="2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24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deferred tax assets</w:t>
            </w:r>
          </w:p>
        </w:tc>
        <w:tc>
          <w:tcPr>
            <w:tcW w:w="24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142,647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2420" w:type="dxa"/>
            <w:vAlign w:val="bottom"/>
            <w:vMerge w:val="restart"/>
          </w:tcPr>
          <w:p>
            <w:pPr>
              <w:jc w:val="right"/>
              <w:ind w:right="179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51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68" w:name="page69"/>
    <w:bookmarkEnd w:id="68"/>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our gross deferred tax assets included $18.9 million of federal net operating loss (NOL) carryforwards, $84.1 million of federal tax credits, and $39.9 million of state NOL carryforwards. Our federal NOL carryforwards expire at various dates through our fiscal 2033, our federal tax credits expire at various dates through our fiscal 2045, and our state NOL carryforwards expire at various dates through our fiscal 2045. As of September 30, 2025, our valuation allowance of $35.8 million remains on various state NOL carryforwards for which the Company has concluded that it is more likely than not that these attributes will not be realized.</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experienced an “ownership change” as defined in Section 382 and Section 383 of the Internal Revenue Code as of January 12, 2010. Section 382 and Section 383 contain rules that limit the ability of a company that undergoes an “ownership change” to utilize its net operating loss carryforwards, tax credits and certain built-in losses or deductions recognized during the five-year period after the ownership change to offset future taxable income. Because the five-year period has expired, we have determined the actual impact and final classification of those amounts, which are properly reflected in the amounts presented above. There can be no assurance that another ownership change, as defined in the tax law, will not occur. If another “ownership change” occurs, a new annual limitation on the utilization of net operating loss carryforwards, tax credits and built-in losses would be determined as of that date. This limitation, should one be required in the future, is subject to assumptions and estimates that could differ from actual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Allowance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reduction of the carrying amounts of deferred tax assets by a valuation allowance is required if, based on the available evidence, it is more likely than not that such assets will not be realized. Accordingly, we assess the need to establish valuation allowances for deferred tax assets periodically based on the more-likely-than-not realization threshold criterion. In our assessment, appropriate consideration is given to all positive and negative evidence related to the realization of the deferred tax assets. This assessment considers, among other matters, the nature, frequency and severity of current and cumulative losses, forecasts of future profitability, the duration of statutory carryforward periods, the Company's experience with operating loss carryforwards and tax credit carryforwards not expiring unused, the Section 382 and Section 383 limitation on our ability to carryforward pre-ownership change net operating losses, tax credits and certain built-in losses or deductions, and tax planning alternatives. Our assessment, while rooted in actual Company performance, is subjective and rely on certain estimates, including forecasts, which could differ materially from actual results.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2025, our conclusions about our ability to more likely than not realize all of our federal and certain state tax attributes remain consistent with our prior determinations. We considered positive factors including our sustained tax profitability, interest savings from our debt reduction strategies, shortage in housing supply, and our backlog. The negative factors included the overall health of the broader economy, elevated mortgage interest rates, and softening housing demand due to affordability challenges. We expect to realize our deferred tax assets prior to their expiration through our regular operations and future earnings.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our unrecognized tax benefits is as follows for the beginning and end of each period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4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30"/>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for tax positions related to current year</w:t>
            </w: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Reductions in tax positions of prior years</w:t>
            </w: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were to recognize our $2.0 million gross unrecognized tax benefits remaining as of September 30, 2025, substantially all would result in adjustments to other tax accounts, primarily deferred taxes. Additionally, we had no accrued interest or penalties as of September 30, 2025, 2024 and 2023. If applicable, we would record interest and penalties related to unrecognized tax benefits in income tax expense within our consolidated statements of operations.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subject to audits by federal and state tax authorities regarding various tax liabilities. The statute of limitations for our major tax jurisdictions remains open for examination for fiscal year 2007 and subsequent years. As of September 30, 2025, we expect $0.4 million of our uncertain tax positions will reverse within the next twelve months.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has no shares of preferred stock outstanding.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Company had 63,000,000 shares of common stock authorized and 29,762,293 shares both issued and outstanding.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2025, the Company's Board of Directors approved a new share repurchase program that authorizes the Company to repurchase up to $100.0 million of its outstanding common stock. The newly authorized program replaced the prior share repurchase program authorized in May 2022 of up to $50.0 million of common stock repurchases, pursuant to which $8.3 million of the capacity remained prior to the replacement of the program. Under our share repurchase programs, the Company repurchased 1.5 million shares of its common stock for $33.1 million at an average price per share of $22.20 during the fiscal year ended September 30, 2025 through open market transactions. All shares have been retired upon repurchase. The aggregate reduction to stockholders' equity related to share repurchases during the fiscal year ended September 30, 2025 was $33.1 million. As of September 30, 2025, the remaining availability of the share repurchase program was $87.5 million.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September 30, 2024, the Company repurchased 455 thousand shares of its common stock for $12.9 million at an average price per share of $28.41 through open market transactions. The aggregate reduction to stockholders’ equity related to share repurchases during the fiscal year ended September 30, 2024 was $12.9 million. No share repurchases were made during fiscal year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under which our Senior Notes were issued contain certain restrictive covenants, including limitations on our payment of dividends. There were no dividends paid during our fiscal 2025, 2024 or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Agreement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and 2024, the Company had net deferred tax assets of $142.6 million and $128.5 million, respectively, representing an 11.0% increase. The vast majority of these tax assets are subject to potential limitation under Internal Revenue Code Sections 382 and 383, and approximately $84.1 million are Energy-Efficiency Tax Credits.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12, 2025, the Company, with the unanimous approval of its Board of Directors, entered into that certain Rights Agreement for the Protection of NOLs and Energy-Efficiency Tax Credits (the New Rights Agreement). The New Rights Agreement will replace the existing rights agreement upon its expiration, effective as of the close of business on November 14, 2025. The New Rights Agreement is intended to preserve the value of the Company’s deferred tax assets, particularly Energy-Efficiency Tax Credits, by acting as a deterrent to any person desiring to acquire 4.95% or more of our common stock. At the 2026 Annual Meeting of Stockholders (the 2026 Annual Meeting), the Company intends to seek stockholder ratification of the New Rights Agreement, as well as approval of a charter amendment that would prohibit certain transfers of our common stock that could result in an ownership change under Internal Revenue Code rules. Subject to stockholder ratification at the 2026 Annual Meeting, the New Rights Agreement will expire upon the earlier of (i) the first day of the Company’s taxable year when the Company’s Board of Directors determines that no Energy-Efficiency Tax Credits carry-forwards are available, or (ii) any other event triggering expiration under its terms, but in no event later than November 14,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(14) Retirement and Deferred Compensation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Retirement Plan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sponsors a defined-contribution plan that is a tax-qualified retirement plan under section 401(k) of the Internal Revenue Code (the Plan). Substantially all employees are eligible for participation in the Plan. Participants may defer and contribute from 1% to 80% of their salary to the Plan, with certain limitations on highly compensated individuals. The Company matches up to 50% of the participant's contributions limited to 6% of the participant's earnings. The participant's contributions vest immediately, while the Company's contributions vest over five years. The total Company contributions for the fiscal years ended September 30, 2025, 2024 and 2023 were $3.7 million, $3.5 million and $3.2 million, respectively. During fiscal 2025, 2024 and 2023, participants forfeited $0.9 million, $0.9 million and $0.7 million, respectively, of unvested matching contributions.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Beazer Homes USA, Inc. Deferred Compensation Plan (DCP) is a non-qualified deferred compensation plan for a select group of executives and highly compensated employees. The DCP allows the executives to defer current compensation on a pre-tax basis to a future year, until termination of employment. The objectives of the DCP are to assist executives with financial planning and capital accumulation and to provide the Company with a method of attracting, rewarding and retaining executives. Participation in the DCP is voluntary. The Company may voluntarily make a contribution to the participants' DCP accounts. For the years ended September 30, 2025, 2024 and 2023, the Company contributed $0.2 million, $0.2 million and $0.2 million, respectively, to the participants' DCP accounts in the form of voluntary contributions, which was recorded as compensation expense within general and administrative expenses in our consolidated statements of operations. DCP assets of $8.7 million and $8.1 million as of September 30, 2025 and 2024, respectively, are included in other assets on our consolidated balance sheets and are recorded at fair value. Realized and unrealized gains and losses on DCP assets are recorded in other income, net within our consolidated statement of operations. DCP liabilities of $8.7 million and $8.1 million as of September 30, 2025 and 2024, respectively, are included in other liabilities on our consolidated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shares available for grant under the Amended and Restated 2014 Beazer Homes USA, Inc. Long-Term Incentive Plan, as amended. We issue new shares upon the exercise of stock options and the grant of restricted stock awards. In cases of forfeitures and cancellations, those shares are returned to the share pool for future issuance. As of September 30, 2025, we had 2.7 million shares of common stock available for future issuances under our equity incentive plan, of which 1,642 shares are to be issued upon exercise of outstanding options.</w:t>
      </w:r>
    </w:p>
    <w:p>
      <w:pPr>
        <w:spacing w:after="0" w:line="12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Stock-based compensation expense is included in general and administrative expenses in our consolidated statements of operations. The following table presents a summary of stock-based compensation expense related to stock options and restricted stock awards for the periods presented.</w:t>
      </w:r>
    </w:p>
    <w:tbl>
      <w:tblPr>
        <w:tblLayout w:type="fixed"/>
        <w:tblInd w:w="4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tcBorders>
              <w:bottom w:val="single" w:sz="8" w:color="CCEEFF"/>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expense</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awards expense</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options have an exercise price equal to the fair market value of the common stock on the grant date, generally vest two or three years after the date of grant, and may be exercised thereafter until their expiration, subject to forfeiture upon termination of employment as provided in the applicable plan. Under certain conditions of retirement, eligible participants may receive a partial vesting of stock options. Stock options generally expire on the eighth anniversary from the date such options were granted, depending on the terms of the award.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granted is estimated on the date of grant using the Black-Scholes option-pricing model (Black-Scholes Model). As of both September 30, 2025 and 2024, there was less than $0.1 million of total unrecognized compensation cost related to unvested stock options. The cost remaining as of September 30, 2025 is expected to be recognized over a weighted-average period of 1.4 years.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71" w:name="page72"/>
    <w:bookmarkEnd w:id="71"/>
    <w:p>
      <w:pPr>
        <w:jc w:val="both"/>
        <w:spacing w:after="0" w:line="254" w:lineRule="auto"/>
        <w:rPr>
          <w:sz w:val="20"/>
          <w:szCs w:val="20"/>
          <w:color w:val="auto"/>
        </w:rPr>
      </w:pPr>
      <w:r>
        <w:rPr>
          <w:rFonts w:ascii="Times New Roman" w:cs="Times New Roman" w:eastAsia="Times New Roman" w:hAnsi="Times New Roman"/>
          <w:sz w:val="18"/>
          <w:szCs w:val="18"/>
          <w:color w:val="auto"/>
        </w:rPr>
        <w:t>During fiscal 2018, the Compensation Committee of our Board of Directors approved the Employee Stock Option Program (ESOP). This program is available to all full-time employees and is designed to enable employees to share in potential price appreciation of the Company's stock. The ESOP matches stock purchases made by eligible employees meeting certain conditions with an option to purchase an additional share of the Company's shares on a one-to-one basis. The exercise price of the options granted is equal to the closing price of the Company's stock on the day the underlying shares are purchased by the employee, which is also the ESOP grant date. The options will vest on the second anniversary of the date of grant but are forfeited if (1) the eligible employee no longer works for the Company or (2) the underlying shares are sold before the two-year vesting period is over. The total number of options available under the ESOP is limited to 100,000, each for one share of the Company's common stock, of which 33,810 options were granted through the end of fiscal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years ended September 30, 2025, 2024, and 2023, we issued 1,692, 50, and 100 stock options under the ESOP,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stock option activity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2024</w:t>
            </w:r>
          </w:p>
        </w:tc>
        <w:tc>
          <w:tcPr>
            <w:tcW w:w="1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2023</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center"/>
              <w:ind w:right="197"/>
              <w:spacing w:after="0" w:line="137"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3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9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9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3460" w:type="dxa"/>
            <w:vAlign w:val="bottom"/>
          </w:tcPr>
          <w:p>
            <w:pPr>
              <w:spacing w:after="0"/>
              <w:rPr>
                <w:sz w:val="11"/>
                <w:szCs w:val="11"/>
                <w:color w:val="auto"/>
              </w:rPr>
            </w:pPr>
          </w:p>
        </w:tc>
        <w:tc>
          <w:tcPr>
            <w:tcW w:w="12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8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center"/>
              <w:ind w:right="217"/>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3"/>
        </w:trPr>
        <w:tc>
          <w:tcPr>
            <w:tcW w:w="34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9.61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22.38</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27.73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8.08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20.27</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1,642</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10.04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at end of period</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gridSpan w:val="2"/>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27.98</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w:t>
            </w:r>
          </w:p>
        </w:tc>
        <w:tc>
          <w:tcPr>
            <w:tcW w:w="3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7"/>
              <w:spacing w:after="0" w:line="203" w:lineRule="exact"/>
              <w:rPr>
                <w:sz w:val="20"/>
                <w:szCs w:val="20"/>
                <w:color w:val="auto"/>
              </w:rPr>
            </w:pPr>
            <w:r>
              <w:rPr>
                <w:rFonts w:ascii="Times New Roman" w:cs="Times New Roman" w:eastAsia="Times New Roman" w:hAnsi="Times New Roman"/>
                <w:sz w:val="18"/>
                <w:szCs w:val="18"/>
                <w:color w:val="auto"/>
              </w:rPr>
              <w:t>9.79</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13,475</w:t>
            </w:r>
          </w:p>
        </w:tc>
        <w:tc>
          <w:tcPr>
            <w:tcW w:w="3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each restricted stock award with market conditions is estimated on the date of grant using the Monte Carlo valuation method. The fair value of restricted stock awards without market conditions is based on the market price of the Company's common stock on the date of grant. If applicable, the cash-settled component of any awards granted to employees is accounted for as a liability, which is adjusted to fair value each reporting period until vested.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cost arising from restricted stock awards granted to employees is recognized as an expense using the straight-line method over the vesting period. As of September 30, 2025 and 2024, there was $9.1 million and $6.8 million, respectively, of total unrecognized compensation cost related to unvested restricted stock awards. The cost remaining as of September 30, 2025 is expected to be recognized over a weighted-average period of 1.9 years.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2025, we issued time-based restricted stock awards and performance-based restricted stock awards with a payout subject to certain performance and market conditions. Each award type is discussed below.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 Awards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fiscal year ended September 30, 2025, we issued 96,603 shares of performance-based restricted stock (2025 Performance Shares), containing market conditions, to our executive officers and certain other employees. The 2025 Performance Shares are structured to be awarded based on the Company's performance under three pre-determined financial and operational metrics at the end of the three-year performance period. After determining the number of shares earned based on the financial and operational metrics, which can range from 0% to 175% of the targeted number of shares, the award will be subject to further upward or downward adjustment by as much as 30% based on the Company's relative total shareholder return (TSR) compared against a selected small to mid-cap homebuilder peers during the three-year performance period. The 2025 Performance Shares were valued using the Monte Carlo valuation model due to the existence of the TSR market condition and had an estimated fair value of $36.86 per share on the date of grant.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Monte Carlo valuation model requires the following inputs: (1) the expected dividend yield on the underlying stock; (2) the expected price volatility of the underlying stock; (3) the risk-free interest rate for the period corresponding with the expected term of the award; and (4) the fair value of the underlying stock. For the Company and each member of the peer group, the following inputs were used, as applicable, in the Monte Carlo valuation model to determine the fair value as of the grant date for performance-based restricted stock granted in each of the fiscal years ended.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72" w:name="page73"/>
    <w:bookmarkEnd w:id="72"/>
    <w:tbl>
      <w:tblPr>
        <w:tblLayout w:type="fixed"/>
        <w:tblInd w:w="4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2120" w:type="dxa"/>
            <w:vAlign w:val="bottom"/>
          </w:tcPr>
          <w:p>
            <w:pPr>
              <w:spacing w:after="0"/>
              <w:rPr>
                <w:sz w:val="16"/>
                <w:szCs w:val="16"/>
                <w:color w:val="auto"/>
              </w:rPr>
            </w:pPr>
          </w:p>
        </w:tc>
      </w:tr>
      <w:tr>
        <w:trPr>
          <w:trHeight w:val="23"/>
        </w:trPr>
        <w:tc>
          <w:tcPr>
            <w:tcW w:w="458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190"/>
        </w:trPr>
        <w:tc>
          <w:tcPr>
            <w:tcW w:w="458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range</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 - 82.7%</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- 84.6%</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 - 86.9%</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4.22 %</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4.26 %</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Grant-date stock price range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$10.49 - $179.41</w:t>
            </w:r>
          </w:p>
        </w:tc>
        <w:tc>
          <w:tcPr>
            <w:tcW w:w="1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$9.81 - $142.79</w:t>
            </w:r>
          </w:p>
        </w:tc>
        <w:tc>
          <w:tcPr>
            <w:tcW w:w="1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$10.31 - $93.50</w:t>
            </w:r>
          </w:p>
        </w:tc>
      </w:tr>
    </w:tbl>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our performance shares represents a contingent right to receive one share of the Company's common stock if vesting is satisfied at the end of the three-year performance period. Our performance stock award plans provide that any performance shares earned in excess of the target number of performance shares issued may be settled in cash or additional shares at the discretion of the Human Capital Committee. We have no current plans to settle any additional performance-based restricted shares in the future in cash.</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performance criteria of the 2023 Performance Share grant were satisfied as of September 30, 2025. Based on the actual performance level achieved, 140,035 performance-based restricted stock awards from the 2023 Performance Share grant will cliff vest at the end of the three-year vesting period on November 20, 2025. Of the total $2.5 million compensation cost related to these awards, we have recognized $0.3 million, $1.5 million and $0.6 million during the fiscal years ended September 30, 2025, 2024 and 2023, respectively. The remaining $0.1 million of unrecognized compensation cost will be recognized in the first quarter of fiscal 2026.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Restricted Stock Awards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fiscal year ended September 30, 2025, we also issued 229,186 shares of time-based restricted stock (Restricted Shares) to our directors, executive officers, and certain other employees. Restricted Shares are valued based on the market price of the Company's common stock on the date of the grant. The Restricted Shares granted to our non-employee directors vest on the first anniversary of the grant, while the Restricted Shares granted to our executive officers and other employees generally vest ratably over three years from the date of grant.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relating to all restricted stock awards for the periods presented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Fiscal Year Ended September 30, 2025</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29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59"/>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259"/>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59"/>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2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jc w:val="center"/>
              <w:ind w:right="42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79"/>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6"/>
        </w:trPr>
        <w:tc>
          <w:tcPr>
            <w:tcW w:w="2540" w:type="dxa"/>
            <w:vAlign w:val="bottom"/>
          </w:tcPr>
          <w:p>
            <w:pPr>
              <w:spacing w:after="0"/>
              <w:rPr>
                <w:sz w:val="12"/>
                <w:szCs w:val="12"/>
                <w:color w:val="auto"/>
              </w:rPr>
            </w:pPr>
          </w:p>
        </w:tc>
        <w:tc>
          <w:tcPr>
            <w:tcW w:w="13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36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3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9"/>
              <w:spacing w:after="0" w:line="146"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303,712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19.48</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415,787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19.89</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719,499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19.72</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96,603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229,186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325,789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32.76</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(228,863)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(300,333)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20.72</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23"/>
                <w:szCs w:val="23"/>
                <w:color w:val="auto"/>
                <w:vertAlign w:val="superscript"/>
              </w:rPr>
              <w:t>(a)</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(21,748)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26.36</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24.63</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307,097</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402,025</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709,122</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25.04</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80" w:right="80" w:hanging="172"/>
        <w:spacing w:after="0" w:line="242" w:lineRule="auto"/>
        <w:tabs>
          <w:tab w:leader="none" w:pos="177"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fiscal year ended September 30, 2025, 17,875 of the 89,345 performance-based shares issued under the fiscal 2022 performance-based award plan were forfeited by the holders of the awards based on the performance level achieved under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73" w:name="page74"/>
    <w:bookmarkEnd w:id="73"/>
    <w:tbl>
      <w:tblPr>
        <w:tblLayout w:type="fixed"/>
        <w:tblInd w:w="4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Fiscal Year Ended September 30, 2024</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2900" w:type="dxa"/>
            <w:vAlign w:val="bottom"/>
            <w:gridSpan w:val="5"/>
          </w:tcPr>
          <w:p>
            <w:pPr>
              <w:ind w:left="720"/>
              <w:spacing w:after="0" w:line="196" w:lineRule="exact"/>
              <w:rPr>
                <w:sz w:val="20"/>
                <w:szCs w:val="20"/>
                <w:color w:val="auto"/>
              </w:rPr>
            </w:pPr>
            <w:r>
              <w:rPr>
                <w:rFonts w:ascii="Times New Roman" w:cs="Times New Roman" w:eastAsia="Times New Roman" w:hAnsi="Times New Roman"/>
                <w:sz w:val="14"/>
                <w:szCs w:val="14"/>
                <w:b w:val="1"/>
                <w:bCs w:val="1"/>
                <w:color w:val="auto"/>
              </w:rPr>
              <w:t>Performance-Based</w:t>
            </w:r>
            <w:r>
              <w:rPr>
                <w:rFonts w:ascii="Times New Roman" w:cs="Times New Roman" w:eastAsia="Times New Roman" w:hAnsi="Times New Roman"/>
                <w:sz w:val="18"/>
                <w:szCs w:val="18"/>
                <w:b w:val="1"/>
                <w:bCs w:val="1"/>
                <w:color w:val="auto"/>
                <w:vertAlign w:val="superscript"/>
              </w:rPr>
              <w:t>(a)</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54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259"/>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6"/>
        </w:trPr>
        <w:tc>
          <w:tcPr>
            <w:tcW w:w="2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9"/>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2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jc w:val="center"/>
              <w:ind w:right="460"/>
              <w:spacing w:after="0" w:line="137" w:lineRule="exact"/>
              <w:rPr>
                <w:sz w:val="20"/>
                <w:szCs w:val="20"/>
                <w:color w:val="auto"/>
              </w:rPr>
            </w:pPr>
            <w:r>
              <w:rPr>
                <w:rFonts w:ascii="Times New Roman" w:cs="Times New Roman" w:eastAsia="Times New Roman" w:hAnsi="Times New Roman"/>
                <w:sz w:val="14"/>
                <w:szCs w:val="14"/>
                <w:b w:val="1"/>
                <w:bCs w:val="1"/>
                <w:color w:val="auto"/>
              </w:rPr>
              <w:t>Grant</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59"/>
              <w:spacing w:after="0" w:line="137"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34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36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3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95"/>
        </w:trPr>
        <w:tc>
          <w:tcPr>
            <w:tcW w:w="25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8"/>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348,223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593,834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303,712</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415,787</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719,499</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80" w:right="20" w:hanging="172"/>
        <w:spacing w:after="0" w:line="242" w:lineRule="auto"/>
        <w:tabs>
          <w:tab w:leader="none" w:pos="177"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Grant and vesting activity during the fiscal year ended September 30, 2024 include 108,108 shares that were issued above target based on performance level achieved under performance-based restricted stock vesting in the current period.</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Fiscal Year Ended September 30, 2023</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2900" w:type="dxa"/>
            <w:vAlign w:val="bottom"/>
            <w:gridSpan w:val="5"/>
          </w:tcPr>
          <w:p>
            <w:pPr>
              <w:ind w:left="720"/>
              <w:spacing w:after="0" w:line="196" w:lineRule="exact"/>
              <w:rPr>
                <w:sz w:val="20"/>
                <w:szCs w:val="20"/>
                <w:color w:val="auto"/>
              </w:rPr>
            </w:pPr>
            <w:r>
              <w:rPr>
                <w:rFonts w:ascii="Times New Roman" w:cs="Times New Roman" w:eastAsia="Times New Roman" w:hAnsi="Times New Roman"/>
                <w:sz w:val="14"/>
                <w:szCs w:val="14"/>
                <w:b w:val="1"/>
                <w:bCs w:val="1"/>
                <w:color w:val="auto"/>
              </w:rPr>
              <w:t>Performance-Based</w:t>
            </w:r>
            <w:r>
              <w:rPr>
                <w:rFonts w:ascii="Times New Roman" w:cs="Times New Roman" w:eastAsia="Times New Roman" w:hAnsi="Times New Roman"/>
                <w:sz w:val="18"/>
                <w:szCs w:val="18"/>
                <w:b w:val="1"/>
                <w:bCs w:val="1"/>
                <w:color w:val="auto"/>
                <w:vertAlign w:val="superscript"/>
              </w:rPr>
              <w:t>(a)</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54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59"/>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259"/>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59"/>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37"/>
        </w:trPr>
        <w:tc>
          <w:tcPr>
            <w:tcW w:w="2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jc w:val="center"/>
              <w:ind w:right="46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59"/>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6"/>
        </w:trPr>
        <w:tc>
          <w:tcPr>
            <w:tcW w:w="2540" w:type="dxa"/>
            <w:vAlign w:val="bottom"/>
          </w:tcPr>
          <w:p>
            <w:pPr>
              <w:spacing w:after="0"/>
              <w:rPr>
                <w:sz w:val="12"/>
                <w:szCs w:val="12"/>
                <w:color w:val="auto"/>
              </w:rPr>
            </w:pPr>
          </w:p>
        </w:tc>
        <w:tc>
          <w:tcPr>
            <w:tcW w:w="134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36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3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9"/>
              <w:spacing w:after="0" w:line="146"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9"/>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436,146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848,188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348,223</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593,834</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942,057</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80" w:hanging="172"/>
        <w:spacing w:after="0" w:line="242" w:lineRule="auto"/>
        <w:tabs>
          <w:tab w:leader="none" w:pos="177"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Grant and vesting activity during the fiscal year ended September 30, 2023 include 92,104 shares that were issued above target based on performance level achieved under performance-based restricted stock vesting in the current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Per Share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income per share is calculated by dividing net income by the weighted-average number of shares outstanding during the period. Diluted income per share adjusts the basic income per share for the effects of any potentially dilutive securities in periods in which the Company has net income and such effects are dilutive under the treasury stock method.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components of basic and diluted income per share for the periods presented: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60" w:type="dxa"/>
            <w:vAlign w:val="bottom"/>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4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45,588</w:t>
            </w:r>
          </w:p>
        </w:tc>
        <w:tc>
          <w:tcPr>
            <w:tcW w:w="5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140,175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158,688</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45,588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140,175</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158,611</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shares</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29,758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30,353</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restricted stock awards</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940" w:type="dxa"/>
            <w:vAlign w:val="bottom"/>
          </w:tcPr>
          <w:p>
            <w:pPr>
              <w:ind w:left="220"/>
              <w:spacing w:after="0" w:line="223" w:lineRule="exact"/>
              <w:rPr>
                <w:sz w:val="20"/>
                <w:szCs w:val="20"/>
                <w:color w:val="auto"/>
              </w:rPr>
            </w:pPr>
            <w:r>
              <w:rPr>
                <w:rFonts w:ascii="Times New Roman" w:cs="Times New Roman" w:eastAsia="Times New Roman" w:hAnsi="Times New Roman"/>
                <w:sz w:val="18"/>
                <w:szCs w:val="18"/>
                <w:color w:val="auto"/>
              </w:rPr>
              <w:t>Diluted weighted-average shares</w:t>
            </w:r>
            <w:r>
              <w:rPr>
                <w:rFonts w:ascii="Times New Roman" w:cs="Times New Roman" w:eastAsia="Times New Roman" w:hAnsi="Times New Roman"/>
                <w:sz w:val="23"/>
                <w:szCs w:val="23"/>
                <w:color w:val="auto"/>
                <w:vertAlign w:val="superscript"/>
              </w:rPr>
              <w:t>(a)</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30,011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30,747</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56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9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income per share:</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5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0" w:hanging="152"/>
        <w:spacing w:after="0"/>
        <w:tabs>
          <w:tab w:leader="none" w:pos="160" w:val="left"/>
        </w:tabs>
        <w:numPr>
          <w:ilvl w:val="0"/>
          <w:numId w:val="4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following potentially dilutive shares were excluded from the calculation of diluted income per share as a result of their anti-dilutive effect.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12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95"/>
        </w:trPr>
        <w:tc>
          <w:tcPr>
            <w:tcW w:w="16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40" w:type="dxa"/>
            <w:vAlign w:val="bottom"/>
          </w:tcPr>
          <w:p>
            <w:pPr>
              <w:spacing w:after="0"/>
              <w:rPr>
                <w:sz w:val="16"/>
                <w:szCs w:val="16"/>
                <w:color w:val="auto"/>
              </w:rPr>
            </w:pPr>
          </w:p>
        </w:tc>
        <w:tc>
          <w:tcPr>
            <w:tcW w:w="15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20" w:type="dxa"/>
            <w:vAlign w:val="bottom"/>
            <w:gridSpan w:val="3"/>
          </w:tcPr>
          <w:p>
            <w:pPr>
              <w:jc w:val="right"/>
              <w:ind w:right="59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595"/>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Pr>
          <w:p>
            <w:pPr>
              <w:spacing w:after="0"/>
              <w:rPr>
                <w:sz w:val="16"/>
                <w:szCs w:val="16"/>
                <w:color w:val="auto"/>
              </w:rPr>
            </w:pPr>
          </w:p>
        </w:tc>
      </w:tr>
      <w:tr>
        <w:trPr>
          <w:trHeight w:val="229"/>
        </w:trPr>
        <w:tc>
          <w:tcPr>
            <w:tcW w:w="160" w:type="dxa"/>
            <w:vAlign w:val="bottom"/>
          </w:tcPr>
          <w:p>
            <w:pPr>
              <w:spacing w:after="0"/>
              <w:rPr>
                <w:sz w:val="19"/>
                <w:szCs w:val="19"/>
                <w:color w:val="auto"/>
              </w:rPr>
            </w:pPr>
          </w:p>
        </w:tc>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7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Time-based restricted stock</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850"/>
        </w:trPr>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Per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(ASC 280), an operating segment is defined as a component of an enterprise that engages in business activities from which it earns revenues and incur expenses and has discrete financial information available that is reviewed regularly by the Company's chief operating decision maker (CODM) to evaluate performance, make operating decisions, and determine how to allocate resources. We have identified each homebuilding component as an operating segment because each homebuilding component is engaged in development, design, construction, marketing, and sale of homes as well as land and lot sales, and provides title examinations for our homebuyers in certain markets. In accordance with the aggregation criteria defined in ASC 280, we aggregate our homebuilding operating segments into reportable segments based on similar long-term economic characteristics and geographical proximity.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operate in 13 states that are grouped into three reportable segments as follows: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w:t>
      </w:r>
      <w:r>
        <w:rPr>
          <w:rFonts w:ascii="Times New Roman" w:cs="Times New Roman" w:eastAsia="Times New Roman" w:hAnsi="Times New Roman"/>
          <w:sz w:val="18"/>
          <w:szCs w:val="18"/>
          <w:color w:val="auto"/>
        </w:rPr>
        <w:t>: Arizona, California, Nevada, and Texas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East</w:t>
      </w:r>
      <w:r>
        <w:rPr>
          <w:rFonts w:ascii="Times New Roman" w:cs="Times New Roman" w:eastAsia="Times New Roman" w:hAnsi="Times New Roman"/>
          <w:sz w:val="18"/>
          <w:szCs w:val="18"/>
          <w:color w:val="auto"/>
        </w:rPr>
        <w:t>: Delaware, Indiana, Maryland, Tennessee, and Virginia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Southeast</w:t>
      </w:r>
      <w:r>
        <w:rPr>
          <w:rFonts w:ascii="Times New Roman" w:cs="Times New Roman" w:eastAsia="Times New Roman" w:hAnsi="Times New Roman"/>
          <w:sz w:val="18"/>
          <w:szCs w:val="18"/>
          <w:color w:val="auto"/>
        </w:rPr>
        <w:t>: Florida, Georgia, North Carolina, and South Carolina</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and unallocated component includes amortization of capitalized interest, capitalization and amortization of indirect costs, impairment of capitalized interest and capitalized indirect costs, expenses for various shared services functions that benefit all segments but are not allocated, including information technology, treasury, corporate finance, legal, branding and national marketing, and certain other amounts that are not allocated to our operating segments.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CODM is the Chief Executive Officer. The CODM is regularly provided with the operating results of individual operating segments which comprise our reportable segments. Segment performance is evaluated, and resources are allocated primarily based on segment operating income (loss), which also plays a central role in the Company's forecasting process. In addition, the CODM considers forecast-to-actual variances when determining the allocation of operating and capital resources across segments. The accounting policies of our segments are those described in Note 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financial information about our reportable segments and Corporate and unallocated component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September 30, 2025</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West</w:t>
            </w:r>
          </w:p>
        </w:tc>
        <w:tc>
          <w:tcPr>
            <w:tcW w:w="120" w:type="dxa"/>
            <w:vAlign w:val="bottom"/>
          </w:tcPr>
          <w:p>
            <w:pPr>
              <w:spacing w:after="0"/>
              <w:rPr>
                <w:sz w:val="12"/>
                <w:szCs w:val="12"/>
                <w:color w:val="auto"/>
              </w:rPr>
            </w:pPr>
          </w:p>
        </w:tc>
        <w:tc>
          <w:tcPr>
            <w:tcW w:w="100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East</w:t>
            </w:r>
          </w:p>
        </w:tc>
        <w:tc>
          <w:tcPr>
            <w:tcW w:w="120" w:type="dxa"/>
            <w:vAlign w:val="bottom"/>
          </w:tcPr>
          <w:p>
            <w:pPr>
              <w:spacing w:after="0"/>
              <w:rPr>
                <w:sz w:val="12"/>
                <w:szCs w:val="12"/>
                <w:color w:val="auto"/>
              </w:rPr>
            </w:pPr>
          </w:p>
        </w:tc>
        <w:tc>
          <w:tcPr>
            <w:tcW w:w="11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Southeast</w:t>
            </w:r>
          </w:p>
        </w:tc>
        <w:tc>
          <w:tcPr>
            <w:tcW w:w="11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120" w:type="dxa"/>
            <w:vAlign w:val="bottom"/>
            <w:gridSpan w:val="2"/>
            <w:vMerge w:val="continue"/>
          </w:tcPr>
          <w:p>
            <w:pPr>
              <w:spacing w:after="0"/>
              <w:rPr>
                <w:sz w:val="12"/>
                <w:szCs w:val="12"/>
                <w:color w:val="auto"/>
              </w:rPr>
            </w:pPr>
          </w:p>
        </w:tc>
        <w:tc>
          <w:tcPr>
            <w:tcW w:w="11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4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1,476,311</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585,337</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309,907</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2,371,555</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construction and land sale expenses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1,206,374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484,521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254,919</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1,945,814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2,021,082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impairments and abandonments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17,335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76,911</w:t>
            </w: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12,884</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78,818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142,514</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54,655</w:t>
            </w: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212,352</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(175,747)</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1,060,650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451,299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461,110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1,973,059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636,649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2,609,708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4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gridSpan w:val="2"/>
          </w:tcPr>
          <w:p>
            <w:pPr>
              <w:jc w:val="right"/>
              <w:ind w:right="836"/>
              <w:spacing w:after="0"/>
              <w:rPr>
                <w:sz w:val="20"/>
                <w:szCs w:val="20"/>
                <w:color w:val="auto"/>
              </w:rPr>
            </w:pPr>
            <w:r>
              <w:rPr>
                <w:rFonts w:ascii="Times New Roman" w:cs="Times New Roman" w:eastAsia="Times New Roman" w:hAnsi="Times New Roman"/>
                <w:sz w:val="18"/>
                <w:szCs w:val="18"/>
                <w:color w:val="auto"/>
                <w:w w:val="99"/>
              </w:rPr>
              <w:t>73</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September 30, 2024</w:t>
            </w: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4"/>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20" w:type="dxa"/>
            <w:vAlign w:val="bottom"/>
          </w:tcPr>
          <w:p>
            <w:pPr>
              <w:spacing w:after="0"/>
              <w:rPr>
                <w:sz w:val="11"/>
                <w:szCs w:val="11"/>
                <w:color w:val="auto"/>
              </w:rPr>
            </w:pPr>
          </w:p>
        </w:tc>
        <w:tc>
          <w:tcPr>
            <w:tcW w:w="11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West</w:t>
            </w:r>
          </w:p>
        </w:tc>
        <w:tc>
          <w:tcPr>
            <w:tcW w:w="102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East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Southeast</w:t>
            </w:r>
          </w:p>
        </w:tc>
        <w:tc>
          <w:tcPr>
            <w:tcW w:w="1120" w:type="dxa"/>
            <w:vAlign w:val="bottom"/>
            <w:gridSpan w:val="4"/>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500" w:type="dxa"/>
            <w:vAlign w:val="bottom"/>
            <w:gridSpan w:val="2"/>
            <w:vMerge w:val="continue"/>
          </w:tcPr>
          <w:p>
            <w:pPr>
              <w:spacing w:after="0"/>
              <w:rPr>
                <w:sz w:val="17"/>
                <w:szCs w:val="17"/>
                <w:color w:val="auto"/>
              </w:rPr>
            </w:pPr>
          </w:p>
        </w:tc>
        <w:tc>
          <w:tcPr>
            <w:tcW w:w="1140" w:type="dxa"/>
            <w:vAlign w:val="bottom"/>
            <w:gridSpan w:val="4"/>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4"/>
            <w:vMerge w:val="continue"/>
          </w:tcPr>
          <w:p>
            <w:pPr>
              <w:spacing w:after="0"/>
              <w:rPr>
                <w:sz w:val="17"/>
                <w:szCs w:val="17"/>
                <w:color w:val="auto"/>
              </w:rPr>
            </w:pPr>
          </w:p>
        </w:tc>
        <w:tc>
          <w:tcPr>
            <w:tcW w:w="11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20" w:type="dxa"/>
            <w:vAlign w:val="bottom"/>
          </w:tcPr>
          <w:p>
            <w:pPr>
              <w:spacing w:after="0"/>
              <w:rPr>
                <w:sz w:val="17"/>
                <w:szCs w:val="17"/>
                <w:color w:val="auto"/>
              </w:rPr>
            </w:pPr>
          </w:p>
        </w:tc>
        <w:tc>
          <w:tcPr>
            <w:tcW w:w="11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1,467,287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501,206</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361,704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2,330,197</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2,330,197</w:t>
            </w: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Home construction and land sale expenses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1,154,678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407,243</w:t>
            </w: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281,742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1,843,663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60,244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1,903,907</w:t>
            </w:r>
          </w:p>
        </w:tc>
        <w:tc>
          <w:tcPr>
            <w:tcW w:w="0" w:type="dxa"/>
            <w:vAlign w:val="bottom"/>
          </w:tcPr>
          <w:p>
            <w:pPr>
              <w:spacing w:after="0"/>
              <w:rPr>
                <w:sz w:val="1"/>
                <w:szCs w:val="1"/>
                <w:color w:val="auto"/>
              </w:rPr>
            </w:pPr>
          </w:p>
        </w:tc>
      </w:tr>
      <w:tr>
        <w:trPr>
          <w:trHeight w:val="229"/>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impairments and abandonments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1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13,552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80,056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80,056</w:t>
            </w:r>
          </w:p>
        </w:tc>
        <w:tc>
          <w:tcPr>
            <w:tcW w:w="0" w:type="dxa"/>
            <w:vAlign w:val="bottom"/>
          </w:tcPr>
          <w:p>
            <w:pPr>
              <w:spacing w:after="0"/>
              <w:rPr>
                <w:sz w:val="1"/>
                <w:szCs w:val="1"/>
                <w:color w:val="auto"/>
              </w:rPr>
            </w:pPr>
          </w:p>
        </w:tc>
      </w:tr>
      <w:tr>
        <w:trPr>
          <w:trHeight w:val="229"/>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11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7,749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45,322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56,904</w:t>
            </w:r>
          </w:p>
        </w:tc>
        <w:tc>
          <w:tcPr>
            <w:tcW w:w="0" w:type="dxa"/>
            <w:vAlign w:val="bottom"/>
          </w:tcPr>
          <w:p>
            <w:pPr>
              <w:spacing w:after="0"/>
              <w:rPr>
                <w:sz w:val="1"/>
                <w:szCs w:val="1"/>
                <w:color w:val="auto"/>
              </w:rPr>
            </w:pPr>
          </w:p>
        </w:tc>
      </w:tr>
      <w:tr>
        <w:trPr>
          <w:trHeight w:val="22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13,323</w:t>
            </w: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11,417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57,767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71,674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129,441</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1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13,090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14,867</w:t>
            </w:r>
          </w:p>
        </w:tc>
        <w:tc>
          <w:tcPr>
            <w:tcW w:w="0" w:type="dxa"/>
            <w:vAlign w:val="bottom"/>
          </w:tcPr>
          <w:p>
            <w:pPr>
              <w:spacing w:after="0"/>
              <w:rPr>
                <w:sz w:val="1"/>
                <w:szCs w:val="1"/>
                <w:color w:val="auto"/>
              </w:rPr>
            </w:pPr>
          </w:p>
        </w:tc>
      </w:tr>
      <w:tr>
        <w:trPr>
          <w:trHeight w:val="223"/>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189,739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52,898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45,666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288,303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(145,277)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143,026</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3"/>
                <w:szCs w:val="23"/>
                <w:color w:val="auto"/>
                <w:vertAlign w:val="superscript"/>
              </w:rPr>
              <w:t>(b)</w:t>
            </w: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16,496</w:t>
            </w:r>
          </w:p>
        </w:tc>
        <w:tc>
          <w:tcPr>
            <w:tcW w:w="0" w:type="dxa"/>
            <w:vAlign w:val="bottom"/>
          </w:tcPr>
          <w:p>
            <w:pPr>
              <w:spacing w:after="0"/>
              <w:rPr>
                <w:sz w:val="1"/>
                <w:szCs w:val="1"/>
                <w:color w:val="auto"/>
              </w:rPr>
            </w:pPr>
          </w:p>
        </w:tc>
      </w:tr>
      <w:tr>
        <w:trPr>
          <w:trHeight w:val="223"/>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159,085</w:t>
            </w:r>
          </w:p>
        </w:tc>
        <w:tc>
          <w:tcPr>
            <w:tcW w:w="0" w:type="dxa"/>
            <w:vAlign w:val="bottom"/>
          </w:tcPr>
          <w:p>
            <w:pPr>
              <w:spacing w:after="0"/>
              <w:rPr>
                <w:sz w:val="1"/>
                <w:szCs w:val="1"/>
                <w:color w:val="auto"/>
              </w:rPr>
            </w:pPr>
          </w:p>
        </w:tc>
      </w:tr>
      <w:tr>
        <w:trPr>
          <w:trHeight w:val="30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(a)</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1,114,450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454,255</w:t>
            </w: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389,058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1,957,763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633,764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2,591,527</w:t>
            </w:r>
          </w:p>
        </w:tc>
        <w:tc>
          <w:tcPr>
            <w:tcW w:w="0" w:type="dxa"/>
            <w:vAlign w:val="bottom"/>
          </w:tcPr>
          <w:p>
            <w:pPr>
              <w:spacing w:after="0"/>
              <w:rPr>
                <w:sz w:val="1"/>
                <w:szCs w:val="1"/>
                <w:color w:val="auto"/>
              </w:rPr>
            </w:pPr>
          </w:p>
        </w:tc>
      </w:tr>
      <w:tr>
        <w:trPr>
          <w:trHeight w:val="224"/>
        </w:trPr>
        <w:tc>
          <w:tcPr>
            <w:tcW w:w="4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2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September 30, 2023</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4"/>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116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West</w:t>
            </w:r>
          </w:p>
        </w:tc>
        <w:tc>
          <w:tcPr>
            <w:tcW w:w="1020" w:type="dxa"/>
            <w:vAlign w:val="bottom"/>
            <w:gridSpan w:val="2"/>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East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Southeast</w:t>
            </w:r>
          </w:p>
        </w:tc>
        <w:tc>
          <w:tcPr>
            <w:tcW w:w="11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160" w:type="dxa"/>
            <w:vAlign w:val="bottom"/>
            <w:gridSpan w:val="5"/>
            <w:vMerge w:val="continue"/>
          </w:tcPr>
          <w:p>
            <w:pPr>
              <w:spacing w:after="0"/>
              <w:rPr>
                <w:sz w:val="12"/>
                <w:szCs w:val="12"/>
                <w:color w:val="auto"/>
              </w:rPr>
            </w:pPr>
          </w:p>
        </w:tc>
        <w:tc>
          <w:tcPr>
            <w:tcW w:w="10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00" w:type="dxa"/>
            <w:vAlign w:val="bottom"/>
            <w:gridSpan w:val="2"/>
            <w:vMerge w:val="continue"/>
          </w:tcPr>
          <w:p>
            <w:pPr>
              <w:spacing w:after="0"/>
              <w:rPr>
                <w:sz w:val="17"/>
                <w:szCs w:val="17"/>
                <w:color w:val="auto"/>
              </w:rPr>
            </w:pPr>
          </w:p>
        </w:tc>
        <w:tc>
          <w:tcPr>
            <w:tcW w:w="1140" w:type="dxa"/>
            <w:vAlign w:val="bottom"/>
            <w:gridSpan w:val="4"/>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4"/>
            <w:vMerge w:val="continue"/>
          </w:tcPr>
          <w:p>
            <w:pPr>
              <w:spacing w:after="0"/>
              <w:rPr>
                <w:sz w:val="17"/>
                <w:szCs w:val="17"/>
                <w:color w:val="auto"/>
              </w:rPr>
            </w:pPr>
          </w:p>
        </w:tc>
        <w:tc>
          <w:tcPr>
            <w:tcW w:w="11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20" w:type="dxa"/>
            <w:vAlign w:val="bottom"/>
          </w:tcPr>
          <w:p>
            <w:pPr>
              <w:spacing w:after="0"/>
              <w:rPr>
                <w:sz w:val="17"/>
                <w:szCs w:val="17"/>
                <w:color w:val="auto"/>
              </w:rPr>
            </w:pPr>
          </w:p>
        </w:tc>
        <w:tc>
          <w:tcPr>
            <w:tcW w:w="11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1,297,005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505,844</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403,936</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2,206,785</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Home construction and land sale expenses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401,852</w:t>
            </w:r>
          </w:p>
        </w:tc>
        <w:tc>
          <w:tcPr>
            <w:tcW w:w="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310,874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1,699,015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64,434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impairments and abandonments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14,379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73,450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57,326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328,197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(150,944)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994,597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356,020</w:t>
            </w:r>
          </w:p>
        </w:tc>
        <w:tc>
          <w:tcPr>
            <w:tcW w:w="4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320,430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1,671,047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739,986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2,411,033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80" w:right="320" w:hanging="172"/>
        <w:spacing w:after="0" w:line="242" w:lineRule="auto"/>
        <w:tabs>
          <w:tab w:leader="none" w:pos="177"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Total assets at Corporate and unallocated include cash and cash equivalents, restricted cash, deferred taxes, capitalized interest and indirect costs, and other items that are not allocated to the segments.</w:t>
      </w:r>
    </w:p>
    <w:p>
      <w:pPr>
        <w:spacing w:after="0" w:line="87" w:lineRule="exact"/>
        <w:rPr>
          <w:rFonts w:ascii="Times New Roman" w:cs="Times New Roman" w:eastAsia="Times New Roman" w:hAnsi="Times New Roman"/>
          <w:sz w:val="22"/>
          <w:szCs w:val="22"/>
          <w:color w:val="auto"/>
          <w:vertAlign w:val="superscript"/>
        </w:rPr>
      </w:pPr>
    </w:p>
    <w:p>
      <w:pPr>
        <w:ind w:left="180" w:right="60" w:hanging="172"/>
        <w:spacing w:after="0" w:line="255" w:lineRule="auto"/>
        <w:tabs>
          <w:tab w:leader="none" w:pos="183"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recognized a gain on sale of investment of $8.6 million during the fiscal year ended September 30, 2024 within other income, net. We previously held a minority interest in a technology company specializing in digital marketing for new home communities, which was sold in March 2024. In exchange for the previously held investment, we received cash in escrow along with a minority partnership interest in the acquiring company, which was recorded within other assets in our consolidated balance sheets.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77" w:name="page78"/>
    <w:bookmarkEnd w:id="77"/>
    <w:p>
      <w:pPr>
        <w:ind w:right="5060"/>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Beazer Homes USA, Inc. </w:t>
      </w:r>
      <w:r>
        <w:rPr>
          <w:rFonts w:ascii="Times New Roman" w:cs="Times New Roman" w:eastAsia="Times New Roman" w:hAnsi="Times New Roman"/>
          <w:sz w:val="18"/>
          <w:szCs w:val="18"/>
          <w:b w:val="1"/>
          <w:bCs w:val="1"/>
          <w:color w:val="auto"/>
        </w:rPr>
        <w:t>Opinion on the Financial Statements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Beazer Homes USA, Inc. and subsidiaries (the "Company") as of September 30, 2025 and 2024, the related consolidated statements of operations, stockholders' equity, and cash flows, for each of the three years in the period ended September 30, 2025, and the related notes (collectively referred to as the "financial statements"). In our opinion, the financial statements present fairly, in all material respects, the financial position of the Company as of September 30, 2025 and 2024, and the results of its operations and its cash flows for each of the three years in the period ended September 30, 2025, in conformity with accounting principles generally accepted in the United States of America.</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September 30,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November 13, 2025,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Owned Inventory—Valuation of Projects in Progress—Refer to Notes 2 and 4 to the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Projects in progress inventory includes homes under construction and land under development grouped together as communities. Projects in progress are stated at cost unless facts and circumstances indicate that the carrying value of the assets may not be recoverable. The Company assesses its projects in progress inventory for indicators of potential impairment at the community level on a quarterly basis. The Company evaluates, among other things, the average sales price and margins on current homes and sales contracts in backlog for each community. As of September 30, 2025, the carrying value of the Company’s projects in progress inventory was $1.96 billion.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subjectivity in determining whether impairment indicators are present at a community, management exercises significant judgment when evaluating for indicators of impairment. Accordingly, auditing management’s judgments regarding the identification of impairment indicators involved an increased extent of effort and especially subjective auditor judgment.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identification of impairment indicators for projects in progress included the following, among others:</w:t>
      </w:r>
    </w:p>
    <w:p>
      <w:pPr>
        <w:spacing w:after="0" w:line="171"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operating effectiveness of controls over management’s evaluation of impairment indicators.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impairment indicator analysis by:</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whether all communities classified as projects in progress inventory were included in the impairment indicators analysis.</w:t>
      </w:r>
    </w:p>
    <w:p>
      <w:pPr>
        <w:spacing w:after="0" w:line="171" w:lineRule="exact"/>
        <w:rPr>
          <w:rFonts w:ascii="Times New Roman" w:cs="Times New Roman" w:eastAsia="Times New Roman" w:hAnsi="Times New Roman"/>
          <w:sz w:val="18"/>
          <w:szCs w:val="18"/>
          <w:color w:val="auto"/>
        </w:rPr>
      </w:pPr>
    </w:p>
    <w:p>
      <w:pPr>
        <w:ind w:left="1300" w:hanging="320"/>
        <w:spacing w:after="0" w:line="282" w:lineRule="auto"/>
        <w:tabs>
          <w:tab w:leader="none" w:pos="131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each community classified as projects in progress inventory for indicators of impairment including considering average sales price and margins on current homes and sales contracts in backlog.</w:t>
      </w:r>
    </w:p>
    <w:p>
      <w:pPr>
        <w:spacing w:after="0" w:line="10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1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independent expectation of indicators and comparing such expectations to those included in the impairment indicator analysis.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79" w:name="page80"/>
    <w:bookmarkEnd w:id="79"/>
    <w:p>
      <w:pPr>
        <w:ind w:right="5060"/>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Beazer Homes USA, Inc. </w:t>
      </w:r>
      <w:r>
        <w:rPr>
          <w:rFonts w:ascii="Times New Roman" w:cs="Times New Roman" w:eastAsia="Times New Roman" w:hAnsi="Times New Roman"/>
          <w:sz w:val="18"/>
          <w:szCs w:val="18"/>
          <w:b w:val="1"/>
          <w:bCs w:val="1"/>
          <w:color w:val="auto"/>
        </w:rPr>
        <w:t>Opinion on Internal Control over Financial Reporting</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Beazer Homes USA, Inc. and subsidiaries (the “Company”) as of September 30,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September 30,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September 30, 2025, of the Company and our report dated November 13, 2025, expressed an unqualified opinion on those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2025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80" w:name="page81"/>
    <w:bookmarkEnd w:id="80"/>
    <w:p>
      <w:pPr>
        <w:ind w:right="3800"/>
        <w:spacing w:after="0" w:line="469"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(CEO) and Chief Financial Officer (CFO), evaluated the effectiveness of the design and operation of the Company's disclosure controls and procedures as of September 30, 2025 pursuant to Rule 13a-15(b) of the Securities Exchange Act of 1934, as amended (Exchange Act). Our disclosure controls and procedures are designed to ensure that information required to be disclosed in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CEO and CFO, as appropriate to allow timely decisions regarding required disclosure. Based on the evaluation, our CEO and CFO concluded that our disclosure controls and procedures were effective as of September 30,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the preparation and fair presentation of the consolidated financial statements included in this Annual Report on Form 10-K. The consolidated financial statements have been prepared in conformity with U.S. generally accepted accounting principles (U.S. GAAP) and reflect management’s judgments and estimates concerning events and transactions that are accounted for or disclosed.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also responsible for establishing and maintaining adequate internal control over financial reporting, as such term is defined in Exchange Act Rule 13a-15(f). The Company’s internal control over financial reporting is a process designed under the supervision of our CEO and CFO to provide reasonable assurance regarding the reliability of financial reporting and the preparation of the Company’s financial statements for external purposes in accordance with U.S. GAAP.</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September 30, 2025. Management’s assessment was based on criteria for effective internal control over financial reporting described in Internal Control – Integrated Framework issued by the Committee of Sponsoring Organizations of the Treadway Commission (2013 Framework). Based on this assessment, management concluded that the Company has maintained effective internal control over financial reporting as of September 30, 2025. The effectiveness of our internal control over financial reporting as of September 30, 2025 has been audited by Deloitte &amp; Touche LLP, our independent registered public accounting firm, as stated in their report, which is included in Part II, Item 8 – Financial Statements and Supplementary Data.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September 30,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172" w:lineRule="exact"/>
        <w:rPr>
          <w:sz w:val="20"/>
          <w:szCs w:val="20"/>
          <w:color w:val="auto"/>
        </w:rPr>
      </w:pPr>
    </w:p>
    <w:p>
      <w:pPr>
        <w:ind w:right="440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Item 9C. Disclosure Reporting Regarding Foreign Jurisdictions That Prevent Inspections </w:t>
      </w:r>
      <w:r>
        <w:rPr>
          <w:rFonts w:ascii="Times New Roman" w:cs="Times New Roman" w:eastAsia="Times New Roman" w:hAnsi="Times New Roman"/>
          <w:sz w:val="18"/>
          <w:szCs w:val="18"/>
          <w:color w:val="auto"/>
        </w:rPr>
        <w:t>Not applicable.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2026 Annual Meeting of Stockholders, which is expected to be filed on or before December 26,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Beazer Homes has adopted a Code of Business Conduct and Ethics (the “Code”) that applies to its principal executive officer, principal financial officer, principal accounting officer, and other senior financial officers. The Company’s Board of Directors approved amendments to the Code in November 2019 and then again in August 2024. The full text of the Code, as amended, can be found on the Company’s website at www.beazer.com. If at any time there is an amendment or waiver of any provision of the Code that is required to be disclosed, information regarding such amendment or waiver will be published on the Company’s website.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2026 Annual Meeting of Stockholders, which is expected to be filed on or before December 26,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7"/>
          <w:szCs w:val="17"/>
          <w:color w:val="auto"/>
        </w:rPr>
        <w:t>The information relating to securities authorized for issuance under equity compensation plans is set forth above in Item 5 – Market for Registrant's Common Equity, Related Stockholder Matters and Issuer Purchases of Equity Securities. All of the other information required by this item is incorporated by reference to our proxy statement for our 2026 Annual Meeting of Stockholders, which is expected to be filed on or before December 26,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2026 Annual Meeting of Stockholders, which is expected to be filed on or before December 26,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registered public accounting firm is Deloitte &amp; Touche LLP (PCAOB ID No. 34).</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Further information required by this item is incorporated by reference to our proxy statement for our 2026 Annual Meeting of Stockholders, which is expected to be filed on or before December 26,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700" w:type="dxa"/>
            <w:vAlign w:val="bottom"/>
            <w:gridSpan w:val="8"/>
          </w:tcPr>
          <w:p>
            <w:pPr>
              <w:ind w:left="5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37"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37"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37"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9000" w:type="dxa"/>
            <w:vAlign w:val="bottom"/>
            <w:gridSpan w:val="15"/>
          </w:tcPr>
          <w:p>
            <w:pPr>
              <w:ind w:left="20"/>
              <w:spacing w:after="0"/>
              <w:rPr>
                <w:sz w:val="20"/>
                <w:szCs w:val="20"/>
                <w:color w:val="auto"/>
              </w:rPr>
            </w:pPr>
            <w:r>
              <w:rPr>
                <w:rFonts w:ascii="Times New Roman" w:cs="Times New Roman" w:eastAsia="Times New Roman" w:hAnsi="Times New Roman"/>
                <w:sz w:val="18"/>
                <w:szCs w:val="18"/>
                <w:b w:val="1"/>
                <w:bCs w:val="1"/>
                <w:color w:val="auto"/>
              </w:rPr>
              <w:t>1. Financial Statements</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94967237"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 Herein</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36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Consolidated Balance Sheets as of September 30, 2025 and 2024</w:t>
            </w:r>
          </w:p>
        </w:tc>
        <w:tc>
          <w:tcPr>
            <w:tcW w:w="1000" w:type="dxa"/>
            <w:vAlign w:val="bottom"/>
            <w:gridSpan w:val="4"/>
          </w:tcPr>
          <w:p>
            <w:pPr>
              <w:jc w:val="center"/>
              <w:ind w:left="730"/>
              <w:spacing w:after="0" w:line="182" w:lineRule="exact"/>
              <w:rPr>
                <w:sz w:val="20"/>
                <w:szCs w:val="20"/>
                <w:color w:val="auto"/>
              </w:rPr>
            </w:pPr>
            <w:r>
              <w:rPr>
                <w:rFonts w:ascii="Times New Roman" w:cs="Times New Roman" w:eastAsia="Times New Roman" w:hAnsi="Times New Roman"/>
                <w:sz w:val="18"/>
                <w:szCs w:val="18"/>
                <w:color w:val="0000FF"/>
                <w:w w:val="99"/>
              </w:rPr>
              <w:t>43</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3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0000FF"/>
            </w:tcBorders>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3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fiscal years ended September 30, 2025, 2024 and 2023</w:t>
            </w:r>
          </w:p>
        </w:tc>
        <w:tc>
          <w:tcPr>
            <w:tcW w:w="100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99"/>
              </w:rPr>
              <w:t>44</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37"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3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fiscal years ended September 30, 2025, 2024 and 2023</w:t>
            </w:r>
          </w:p>
        </w:tc>
        <w:tc>
          <w:tcPr>
            <w:tcW w:w="100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99"/>
              </w:rPr>
              <w:t>45</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37"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73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fiscal years ended September 30, 2025, 2024 and 2023</w:t>
            </w: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99"/>
              </w:rPr>
              <w:t>46</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37"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0000FF"/>
            </w:tcBorders>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3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220" w:type="dxa"/>
            <w:vAlign w:val="bottom"/>
            <w:gridSpan w:val="8"/>
          </w:tcPr>
          <w:p>
            <w:pPr>
              <w:spacing w:after="0"/>
              <w:rPr>
                <w:sz w:val="18"/>
                <w:szCs w:val="18"/>
                <w:color w:val="auto"/>
              </w:rPr>
            </w:pPr>
          </w:p>
        </w:tc>
        <w:tc>
          <w:tcPr>
            <w:tcW w:w="2000" w:type="dxa"/>
            <w:vAlign w:val="bottom"/>
            <w:gridSpan w:val="2"/>
          </w:tcPr>
          <w:p>
            <w:pPr>
              <w:spacing w:after="0"/>
              <w:rPr>
                <w:sz w:val="18"/>
                <w:szCs w:val="18"/>
                <w:color w:val="auto"/>
              </w:rPr>
            </w:pPr>
          </w:p>
        </w:tc>
        <w:tc>
          <w:tcPr>
            <w:tcW w:w="100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99"/>
              </w:rPr>
              <w:t>47</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37"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4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780" w:type="dxa"/>
            <w:vAlign w:val="bottom"/>
            <w:tcBorders>
              <w:top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tc>
        <w:tc>
          <w:tcPr>
            <w:tcW w:w="622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37"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None required.</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37"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 Exhibits</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37"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3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All exhibits were filed under File No. 001-12822, except as otherwise indicated below.</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37"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9"/>
        </w:trPr>
        <w:tc>
          <w:tcPr>
            <w:tcW w:w="40" w:type="dxa"/>
            <w:vAlign w:val="bottom"/>
          </w:tcPr>
          <w:p>
            <w:pPr>
              <w:spacing w:after="0"/>
              <w:rPr>
                <w:sz w:val="24"/>
                <w:szCs w:val="24"/>
                <w:color w:val="auto"/>
              </w:rPr>
            </w:pPr>
          </w:p>
        </w:tc>
        <w:tc>
          <w:tcPr>
            <w:tcW w:w="1940" w:type="dxa"/>
            <w:vAlign w:val="bottom"/>
            <w:gridSpan w:val="3"/>
          </w:tcPr>
          <w:p>
            <w:pPr>
              <w:jc w:val="center"/>
              <w:ind w:right="89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00" w:type="dxa"/>
            <w:vAlign w:val="bottom"/>
            <w:gridSpan w:val="7"/>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37"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7"/>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94967237"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tcPr>
          <w:p>
            <w:pPr>
              <w:spacing w:after="0"/>
              <w:rPr>
                <w:sz w:val="24"/>
                <w:szCs w:val="24"/>
                <w:color w:val="auto"/>
              </w:rPr>
            </w:pPr>
          </w:p>
        </w:tc>
        <w:tc>
          <w:tcPr>
            <w:tcW w:w="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2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Amended and Restated Certificate of Incorporation of the Company (incorporated herein by reference to Exhibit 3.1 of the</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Company's Form 10-K for the year ended September 30, 2008)</w:t>
              </w:r>
            </w:hyperlink>
          </w:p>
        </w:tc>
        <w:tc>
          <w:tcPr>
            <w:tcW w:w="284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tcPr>
          <w:p>
            <w:pPr>
              <w:spacing w:after="0"/>
              <w:rPr>
                <w:sz w:val="19"/>
                <w:szCs w:val="19"/>
                <w:color w:val="auto"/>
              </w:rPr>
            </w:pPr>
          </w:p>
        </w:tc>
        <w:tc>
          <w:tcPr>
            <w:tcW w:w="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220" w:type="dxa"/>
            <w:vAlign w:val="bottom"/>
            <w:gridSpan w:val="24"/>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Certificate of Amendment, dated April 13, 2010, to the Amended and Restated Certificate of Incorporation of the Company</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(incorporated herein by reference to Exhibit 3.1 of the Company's Form 10-Q for the quarter ended March 31, 2010)</w:t>
              </w:r>
            </w:hyperlink>
          </w:p>
        </w:tc>
        <w:tc>
          <w:tcPr>
            <w:tcW w:w="78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3.3</w:t>
            </w:r>
          </w:p>
        </w:tc>
        <w:tc>
          <w:tcPr>
            <w:tcW w:w="600" w:type="dxa"/>
            <w:vAlign w:val="bottom"/>
          </w:tcPr>
          <w:p>
            <w:pPr>
              <w:spacing w:after="0"/>
              <w:rPr>
                <w:sz w:val="19"/>
                <w:szCs w:val="19"/>
                <w:color w:val="auto"/>
              </w:rPr>
            </w:pPr>
          </w:p>
        </w:tc>
        <w:tc>
          <w:tcPr>
            <w:tcW w:w="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220" w:type="dxa"/>
            <w:vAlign w:val="bottom"/>
            <w:gridSpan w:val="24"/>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Certificate of Amendment, dated February 3, 2011, to the Amended and Restated Certificate of Incorporation of the Company,</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as amended (incorporated herein by reference to Exhibit 3.1 of the Company's Form 8-K filed on February 8, 2011)</w:t>
              </w:r>
            </w:hyperlink>
          </w:p>
        </w:tc>
        <w:tc>
          <w:tcPr>
            <w:tcW w:w="9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3.4</w:t>
            </w:r>
          </w:p>
        </w:tc>
        <w:tc>
          <w:tcPr>
            <w:tcW w:w="600" w:type="dxa"/>
            <w:vAlign w:val="bottom"/>
          </w:tcPr>
          <w:p>
            <w:pPr>
              <w:spacing w:after="0"/>
              <w:rPr>
                <w:sz w:val="19"/>
                <w:szCs w:val="19"/>
                <w:color w:val="auto"/>
              </w:rPr>
            </w:pPr>
          </w:p>
        </w:tc>
        <w:tc>
          <w:tcPr>
            <w:tcW w:w="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220" w:type="dxa"/>
            <w:vAlign w:val="bottom"/>
            <w:gridSpan w:val="24"/>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Certificate of Amendment, dated October 11, 2012, to the Amended and Restated Certificate of Incorporation of the Company,</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4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as amended (incorporated herein by reference to Exhibit 3.1 of the Company's Form 8-K filed on October 12, 2012)</w:t>
              </w:r>
            </w:hyperlink>
          </w:p>
        </w:tc>
        <w:tc>
          <w:tcPr>
            <w:tcW w:w="940" w:type="dxa"/>
            <w:vAlign w:val="bottom"/>
            <w:tcBorders>
              <w:top w:val="single" w:sz="8" w:color="0000FF"/>
            </w:tcBorders>
            <w:gridSpan w:val="8"/>
          </w:tcPr>
          <w:p>
            <w:pPr>
              <w:spacing w:after="0"/>
              <w:rPr>
                <w:sz w:val="13"/>
                <w:szCs w:val="13"/>
                <w:color w:val="auto"/>
              </w:rPr>
            </w:pPr>
          </w:p>
        </w:tc>
        <w:tc>
          <w:tcPr>
            <w:tcW w:w="429496723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3.5</w:t>
            </w:r>
          </w:p>
        </w:tc>
        <w:tc>
          <w:tcPr>
            <w:tcW w:w="600" w:type="dxa"/>
            <w:vAlign w:val="bottom"/>
          </w:tcPr>
          <w:p>
            <w:pPr>
              <w:spacing w:after="0"/>
              <w:rPr>
                <w:sz w:val="19"/>
                <w:szCs w:val="19"/>
                <w:color w:val="auto"/>
              </w:rPr>
            </w:pPr>
          </w:p>
        </w:tc>
        <w:tc>
          <w:tcPr>
            <w:tcW w:w="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2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Certificate of Amendment, dated February 2, 2013, to the Amended and Restated Certificate of Incorporation of the Company,</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Borders>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as amended (incorporated herein by reference to Exhibit 3.1 of the Company's Form 8-K filed on February 5, 2013)</w:t>
              </w:r>
            </w:hyperlink>
          </w:p>
        </w:tc>
        <w:tc>
          <w:tcPr>
            <w:tcW w:w="9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3.6</w:t>
            </w:r>
          </w:p>
        </w:tc>
        <w:tc>
          <w:tcPr>
            <w:tcW w:w="600" w:type="dxa"/>
            <w:vAlign w:val="bottom"/>
          </w:tcPr>
          <w:p>
            <w:pPr>
              <w:spacing w:after="0"/>
              <w:rPr>
                <w:sz w:val="19"/>
                <w:szCs w:val="19"/>
                <w:color w:val="auto"/>
              </w:rPr>
            </w:pPr>
          </w:p>
        </w:tc>
        <w:tc>
          <w:tcPr>
            <w:tcW w:w="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220" w:type="dxa"/>
            <w:vAlign w:val="bottom"/>
            <w:gridSpan w:val="24"/>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Certificate of Amendment, dated November 6, 2013, to the Amended and Restated Certificate of Incorporation of the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Company, as amended (incorporated herein by reference to Exhibit 3.1 of the Company's Form 8-K filed on November 7,</w:t>
              </w:r>
            </w:hyperlink>
          </w:p>
        </w:tc>
        <w:tc>
          <w:tcPr>
            <w:tcW w:w="20" w:type="dxa"/>
            <w:vAlign w:val="bottom"/>
          </w:tcPr>
          <w:p>
            <w:pPr>
              <w:spacing w:after="0"/>
              <w:rPr>
                <w:sz w:val="13"/>
                <w:szCs w:val="13"/>
                <w:color w:val="auto"/>
              </w:rPr>
            </w:pPr>
          </w:p>
        </w:tc>
        <w:tc>
          <w:tcPr>
            <w:tcW w:w="4294967257"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104">
              <w:r>
                <w:rPr>
                  <w:rFonts w:ascii="Times New Roman" w:cs="Times New Roman" w:eastAsia="Times New Roman" w:hAnsi="Times New Roman"/>
                  <w:sz w:val="18"/>
                  <w:szCs w:val="18"/>
                  <w:color w:val="0000FF"/>
                  <w:w w:val="95"/>
                </w:rPr>
                <w:t>2013)</w:t>
              </w:r>
            </w:hyperlink>
          </w:p>
        </w:tc>
        <w:tc>
          <w:tcPr>
            <w:tcW w:w="76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9496723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3.7</w:t>
            </w:r>
          </w:p>
        </w:tc>
        <w:tc>
          <w:tcPr>
            <w:tcW w:w="600" w:type="dxa"/>
            <w:vAlign w:val="bottom"/>
          </w:tcPr>
          <w:p>
            <w:pPr>
              <w:spacing w:after="0"/>
              <w:rPr>
                <w:sz w:val="18"/>
                <w:szCs w:val="18"/>
                <w:color w:val="auto"/>
              </w:rPr>
            </w:pPr>
          </w:p>
        </w:tc>
        <w:tc>
          <w:tcPr>
            <w:tcW w:w="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220" w:type="dxa"/>
            <w:vAlign w:val="bottom"/>
            <w:gridSpan w:val="24"/>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Certificate of Amendment, dated November 11, 2016, to the Amended and Restated Certificate of Incorporation of the</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Company, as amended (incorporated herein by reference to Exhibit 3.8 of the Company's Form 10-K for the year ended</w:t>
              </w:r>
            </w:hyperlink>
          </w:p>
        </w:tc>
        <w:tc>
          <w:tcPr>
            <w:tcW w:w="4294967257"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05">
              <w:r>
                <w:rPr>
                  <w:rFonts w:ascii="Times New Roman" w:cs="Times New Roman" w:eastAsia="Times New Roman" w:hAnsi="Times New Roman"/>
                  <w:sz w:val="18"/>
                  <w:szCs w:val="18"/>
                  <w:color w:val="0000FF"/>
                  <w:w w:val="98"/>
                </w:rPr>
                <w:t>September 30, 2016)</w:t>
              </w:r>
            </w:hyperlink>
          </w:p>
        </w:tc>
        <w:tc>
          <w:tcPr>
            <w:tcW w:w="5900" w:type="dxa"/>
            <w:vAlign w:val="bottom"/>
            <w:tcBorders>
              <w:top w:val="single" w:sz="8" w:color="0000FF"/>
            </w:tcBorders>
            <w:gridSpan w:val="9"/>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3.8</w:t>
            </w:r>
          </w:p>
        </w:tc>
        <w:tc>
          <w:tcPr>
            <w:tcW w:w="600" w:type="dxa"/>
            <w:vAlign w:val="bottom"/>
          </w:tcPr>
          <w:p>
            <w:pPr>
              <w:spacing w:after="0"/>
              <w:rPr>
                <w:sz w:val="18"/>
                <w:szCs w:val="18"/>
                <w:color w:val="auto"/>
              </w:rPr>
            </w:pPr>
          </w:p>
        </w:tc>
        <w:tc>
          <w:tcPr>
            <w:tcW w:w="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220" w:type="dxa"/>
            <w:vAlign w:val="bottom"/>
            <w:gridSpan w:val="24"/>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Certificate of Amendment, dated as of November 8, 2019, and effective as of November 12, 2019, to the Amended and</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Restated Certificate of Incorporation of the Company, as amended (incorporated herein by reference to Exhibit 3.8 of the</w:t>
              </w:r>
            </w:hyperlink>
          </w:p>
        </w:tc>
        <w:tc>
          <w:tcPr>
            <w:tcW w:w="40" w:type="dxa"/>
            <w:vAlign w:val="bottom"/>
            <w:gridSpan w:val="2"/>
          </w:tcPr>
          <w:p>
            <w:pPr>
              <w:spacing w:after="0"/>
              <w:rPr>
                <w:sz w:val="13"/>
                <w:szCs w:val="13"/>
                <w:color w:val="auto"/>
              </w:rPr>
            </w:pPr>
          </w:p>
        </w:tc>
        <w:tc>
          <w:tcPr>
            <w:tcW w:w="4294967277"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Company's Form 10-K for the year ended September 30, 2019)</w:t>
              </w:r>
            </w:hyperlink>
          </w:p>
        </w:tc>
        <w:tc>
          <w:tcPr>
            <w:tcW w:w="2860" w:type="dxa"/>
            <w:vAlign w:val="bottom"/>
            <w:tcBorders>
              <w:top w:val="single" w:sz="8" w:color="0000FF"/>
            </w:tcBorders>
            <w:gridSpan w:val="5"/>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3.9</w:t>
            </w:r>
          </w:p>
        </w:tc>
        <w:tc>
          <w:tcPr>
            <w:tcW w:w="600" w:type="dxa"/>
            <w:vAlign w:val="bottom"/>
          </w:tcPr>
          <w:p>
            <w:pPr>
              <w:spacing w:after="0"/>
              <w:rPr>
                <w:sz w:val="18"/>
                <w:szCs w:val="18"/>
                <w:color w:val="auto"/>
              </w:rPr>
            </w:pPr>
          </w:p>
        </w:tc>
        <w:tc>
          <w:tcPr>
            <w:tcW w:w="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220" w:type="dxa"/>
            <w:vAlign w:val="bottom"/>
            <w:gridSpan w:val="24"/>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Certificate of Amendment, dated November 9, 2022, to the Amended and Restated Certificate of Incorporation of Beazer</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Homes USA, Inc. (incorporated herein by reference to Exhibit 3.1 of the Company’s Form 8-K filed on November 14, 2022)</w:t>
              </w:r>
            </w:hyperlink>
          </w:p>
        </w:tc>
        <w:tc>
          <w:tcPr>
            <w:tcW w:w="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920" w:type="dxa"/>
            <w:vAlign w:val="bottom"/>
            <w:gridSpan w:val="11"/>
            <w:shd w:val="clear" w:color="auto" w:fill="0000FF"/>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3.10</w:t>
            </w:r>
          </w:p>
        </w:tc>
        <w:tc>
          <w:tcPr>
            <w:tcW w:w="600" w:type="dxa"/>
            <w:vAlign w:val="bottom"/>
          </w:tcPr>
          <w:p>
            <w:pPr>
              <w:spacing w:after="0"/>
              <w:rPr>
                <w:sz w:val="19"/>
                <w:szCs w:val="19"/>
                <w:color w:val="auto"/>
              </w:rPr>
            </w:pPr>
          </w:p>
        </w:tc>
        <w:tc>
          <w:tcPr>
            <w:tcW w:w="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220" w:type="dxa"/>
            <w:vAlign w:val="bottom"/>
            <w:gridSpan w:val="24"/>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Fourth Amended and Restated Bylaws of the Company (incorporated herein by reference to Exhibit 3.3 of the Company's</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Form 10-K for the year ended September 30, 2010)</w:t>
              </w:r>
            </w:hyperlink>
          </w:p>
        </w:tc>
        <w:tc>
          <w:tcPr>
            <w:tcW w:w="3700" w:type="dxa"/>
            <w:vAlign w:val="bottom"/>
            <w:tcBorders>
              <w:top w:val="single" w:sz="8" w:color="0000FF"/>
            </w:tcBorders>
            <w:gridSpan w:val="7"/>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600" w:type="dxa"/>
            <w:vAlign w:val="bottom"/>
          </w:tcPr>
          <w:p>
            <w:pPr>
              <w:spacing w:after="0"/>
              <w:rPr>
                <w:sz w:val="19"/>
                <w:szCs w:val="19"/>
                <w:color w:val="auto"/>
              </w:rPr>
            </w:pPr>
          </w:p>
        </w:tc>
        <w:tc>
          <w:tcPr>
            <w:tcW w:w="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220" w:type="dxa"/>
            <w:vAlign w:val="bottom"/>
            <w:gridSpan w:val="24"/>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Specimen Physical Common Stock Certificate of Beazer Homes USA, Inc. (incorporated herein by reference to Exhibit 4.1 of</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the Company's Form 10-K filed on November 10, 2015)</w:t>
              </w:r>
            </w:hyperlink>
          </w:p>
        </w:tc>
        <w:tc>
          <w:tcPr>
            <w:tcW w:w="8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9496723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6"/>
            <w:shd w:val="clear" w:color="auto" w:fill="0000FF"/>
          </w:tcPr>
          <w:p>
            <w:pPr>
              <w:spacing w:after="0" w:line="20" w:lineRule="exact"/>
              <w:rPr>
                <w:sz w:val="1"/>
                <w:szCs w:val="1"/>
                <w:color w:val="auto"/>
              </w:rPr>
            </w:pPr>
          </w:p>
        </w:tc>
        <w:tc>
          <w:tcPr>
            <w:tcW w:w="51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4.2</w:t>
            </w:r>
          </w:p>
        </w:tc>
        <w:tc>
          <w:tcPr>
            <w:tcW w:w="600" w:type="dxa"/>
            <w:vAlign w:val="bottom"/>
          </w:tcPr>
          <w:p>
            <w:pPr>
              <w:spacing w:after="0"/>
              <w:rPr>
                <w:sz w:val="19"/>
                <w:szCs w:val="19"/>
                <w:color w:val="auto"/>
              </w:rPr>
            </w:pPr>
          </w:p>
        </w:tc>
        <w:tc>
          <w:tcPr>
            <w:tcW w:w="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220" w:type="dxa"/>
            <w:vAlign w:val="bottom"/>
            <w:gridSpan w:val="24"/>
          </w:tcPr>
          <w:p>
            <w:pPr>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Section 382 Rights Agreement, dated as of December 7, 2021, and effective as of November 14, 2022, between Beazer Homes</w:t>
              </w:r>
            </w:hyperlink>
          </w:p>
        </w:tc>
        <w:tc>
          <w:tcPr>
            <w:tcW w:w="0" w:type="dxa"/>
            <w:vAlign w:val="bottom"/>
          </w:tcPr>
          <w:p>
            <w:pPr>
              <w:spacing w:after="0"/>
              <w:rPr>
                <w:sz w:val="1"/>
                <w:szCs w:val="1"/>
                <w:color w:val="auto"/>
              </w:rPr>
            </w:pPr>
          </w:p>
        </w:tc>
      </w:tr>
    </w:tbl>
    <w:p>
      <w:pPr>
        <w:ind w:left="2000" w:right="40"/>
        <w:spacing w:after="0" w:line="233" w:lineRule="auto"/>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u w:val="single" w:color="auto"/>
            <w:color w:val="0000FF"/>
          </w:rPr>
          <w:t>USA, Inc. and American Stock Transfer &amp; Trust Company, LLC, as Rights Agent (incorporated herein by reference to Exhibit</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4.1 of the Company’s Form 8-K filed on November 14, 2022</w:t>
        </w:r>
        <w:r>
          <w:rPr>
            <w:rFonts w:ascii="Times New Roman" w:cs="Times New Roman" w:eastAsia="Times New Roman" w:hAnsi="Times New Roman"/>
            <w:sz w:val="18"/>
            <w:szCs w:val="18"/>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4.3</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38"/>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Form of Indenture for Senior Debt Securities, between the Company and Regions Bank (incorporated herein by reference to</w:t>
              </w:r>
            </w:hyperlink>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30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Exhibit 4.2(a) of the Company’s Form S-3ASR filed on August 10, 2023)</w:t>
              </w:r>
            </w:hyperlink>
          </w:p>
        </w:tc>
        <w:tc>
          <w:tcPr>
            <w:tcW w:w="408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4.4</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38"/>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Form of Indenture for Subordinated Debt Securities, between the Company and Regions Bank (incorporated herein by</w:t>
              </w:r>
            </w:hyperlink>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4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reference to Exhibit 4.2(b) of the Company’s Form S-3ASR filed on August 10, 2023)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4.5</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38"/>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Form of Junior Subordinated Indenture, dated June 15, 2006, between the Company and JPMorgan Chase Bank, National</w:t>
              </w:r>
            </w:hyperlink>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10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Association (incorporated herein by reference to Exhibit 4.1 of the Company's Form 8-K filed on June 21, 2006)</w:t>
              </w:r>
            </w:hyperlink>
          </w:p>
        </w:tc>
        <w:tc>
          <w:tcPr>
            <w:tcW w:w="138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4.6</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38"/>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Amended and Restated Trust Agreement, dated June 15, 2006, among the Company, JPMorgan Chase Bank, National</w:t>
              </w:r>
            </w:hyperlink>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50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Association,  Chase  Bank  USA,  National  Association,  and  certain  individuals  named  therein  as  Administrative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Trustees (incorporated herein by reference to Exhibit 4.2 of the Company's Form 8-K filed on June 21, 2006)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6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4.7</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38"/>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Junior Subordinated Indenture between Beazer Homes USA, Inc. and Wilmington Trust Company, as trustee, dated as of</w:t>
              </w:r>
            </w:hyperlink>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4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January 15, 2010 (incorporated herein by reference to Exhibit 10.2 of the Company's Form 8-K dated January 21, 2010)</w:t>
              </w:r>
            </w:hyperlink>
          </w:p>
        </w:tc>
        <w:tc>
          <w:tcPr>
            <w:tcW w:w="560" w:type="dxa"/>
            <w:vAlign w:val="bottom"/>
            <w:tcBorders>
              <w:top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4.8</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38"/>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Indenture, dated as of October 10, 2017, between the Company, the Guarantors and U.S. Bank National Association, as trustee</w:t>
              </w:r>
            </w:hyperlink>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18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(incorporated herein by reference to Exhibit 4.1 of the Company’s Form 8-K filed on October 10, 2017)</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38"/>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5.875% Senior Note due 2027 (incorporated herein by reference to Exhibit 4.2 of the Company’s Form 8-K filed on</w:t>
              </w:r>
            </w:hyperlink>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October 10,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4.10</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38"/>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Registration Rights Agreement, dated as of October 10, 2017, between the Company, the Guarantors and Credit Suisse</w:t>
              </w:r>
            </w:hyperlink>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300" w:type="dxa"/>
            <w:vAlign w:val="bottom"/>
            <w:tcBorders>
              <w:top w:val="single" w:sz="8" w:color="0000FF"/>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Securities (USA) LLC, as representative of the Initial Purchasers (incorporated herein by reference to Exhibit 4.3 of the</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340" w:type="dxa"/>
            <w:vAlign w:val="bottom"/>
            <w:gridSpan w:val="28"/>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Company’s Form 8-K filed on October 10, 2017)</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4.11</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38"/>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Indenture for 7.500% Senior Notes due 2031, dated March 15, 2024, by and among the Company, the Guarantors and Regions</w:t>
              </w:r>
            </w:hyperlink>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8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Bank, as trustee (incorporated herein by reference to Exhibit 4.1 of the Company’s Form 8-K filed on March 18, 2024)</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9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4.12</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38"/>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7.500% Senior Note due 2031 (incorporated by reference to Exhibit 4.2 of the Company’s Form 8-K filed on March</w:t>
              </w:r>
            </w:hyperlink>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119">
              <w:r>
                <w:rPr>
                  <w:rFonts w:ascii="Times New Roman" w:cs="Times New Roman" w:eastAsia="Times New Roman" w:hAnsi="Times New Roman"/>
                  <w:sz w:val="18"/>
                  <w:szCs w:val="18"/>
                  <w:color w:val="0000FF"/>
                  <w:w w:val="95"/>
                </w:rPr>
                <w:t>18, 2024)</w:t>
              </w:r>
            </w:hyperlink>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4.13</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38"/>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Indenture for 7.250% Senior Notes due 2029, dated as of September 24, 2019, by and among the Company, the Guarantors and</w:t>
              </w:r>
            </w:hyperlink>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50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U.S. Bank National Association, as trustee (incorporated herein by reference to Exhibit 4.1 of the Company's Form 8-K filed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20">
              <w:r>
                <w:rPr>
                  <w:rFonts w:ascii="Times New Roman" w:cs="Times New Roman" w:eastAsia="Times New Roman" w:hAnsi="Times New Roman"/>
                  <w:sz w:val="18"/>
                  <w:szCs w:val="18"/>
                  <w:color w:val="0000FF"/>
                  <w:w w:val="98"/>
                </w:rPr>
                <w:t>on September 24, 2019)</w:t>
              </w:r>
            </w:hyperlink>
          </w:p>
        </w:tc>
        <w:tc>
          <w:tcPr>
            <w:tcW w:w="762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4.14</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38"/>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7.250% Senior Note due 2029 (incorporated herein by reference to Exhibit 4.2 of the Company's 8-K filed on</w:t>
              </w:r>
            </w:hyperlink>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120">
              <w:r>
                <w:rPr>
                  <w:rFonts w:ascii="Times New Roman" w:cs="Times New Roman" w:eastAsia="Times New Roman" w:hAnsi="Times New Roman"/>
                  <w:sz w:val="18"/>
                  <w:szCs w:val="18"/>
                  <w:color w:val="0000FF"/>
                  <w:w w:val="98"/>
                </w:rPr>
                <w:t>September 24, 2019)</w:t>
              </w:r>
            </w:hyperlink>
          </w:p>
        </w:tc>
        <w:tc>
          <w:tcPr>
            <w:tcW w:w="776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4.15</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38"/>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Registration Rights Agreement, dated as of September 24, 2019, by and among the Company, the Guarantors and Credit Suisse</w:t>
              </w:r>
            </w:hyperlink>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36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Securities (USA) LLC, as representative of the Initial Purchasers (incorporated herein by reference to Exhibit 4.3 of the</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3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Company's Form 8-K filed on September 24, 2019)</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4.16</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38"/>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Description of the Registrant's Securities Registered Pursuant to Section 12 of the Securities Exchange Act of 1934</w:t>
              </w:r>
            </w:hyperlink>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32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(incorporated herein by reference to Exhibit 4.37 of the Company's Form 10-K for the year ended September 30, 2021)</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39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38"/>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Indemnification Agreement (incorporated herein by reference to Exhibit 10.1 of the Company's Form 8-K filed on</w:t>
              </w:r>
            </w:hyperlink>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7"/>
              </w:rPr>
            </w:pPr>
            <w:hyperlink r:id="rId123">
              <w:r>
                <w:rPr>
                  <w:rFonts w:ascii="Times New Roman" w:cs="Times New Roman" w:eastAsia="Times New Roman" w:hAnsi="Times New Roman"/>
                  <w:sz w:val="18"/>
                  <w:szCs w:val="18"/>
                  <w:color w:val="0000FF"/>
                  <w:w w:val="97"/>
                </w:rPr>
                <w:t>July 1, 2008)</w:t>
              </w:r>
            </w:hyperlink>
          </w:p>
        </w:tc>
        <w:tc>
          <w:tcPr>
            <w:tcW w:w="8480" w:type="dxa"/>
            <w:vAlign w:val="bottom"/>
            <w:tcBorders>
              <w:top w:val="single" w:sz="8" w:color="0000FF"/>
            </w:tcBorders>
            <w:gridSpan w:val="3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38"/>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Amended and Restated 2014 Long-Term Incentive Plan, as amended (incorporated by reference to Exhibit 10.38 to the</w:t>
              </w:r>
            </w:hyperlink>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8"/>
              </w:rPr>
            </w:pPr>
            <w:hyperlink r:id="rId124">
              <w:r>
                <w:rPr>
                  <w:rFonts w:ascii="Times New Roman" w:cs="Times New Roman" w:eastAsia="Times New Roman" w:hAnsi="Times New Roman"/>
                  <w:sz w:val="18"/>
                  <w:szCs w:val="18"/>
                  <w:color w:val="0000FF"/>
                  <w:w w:val="98"/>
                </w:rPr>
                <w:t>Company’s Form 10-K filed on November 13, 2024)</w:t>
              </w:r>
            </w:hyperlink>
          </w:p>
        </w:tc>
        <w:tc>
          <w:tcPr>
            <w:tcW w:w="5660" w:type="dxa"/>
            <w:vAlign w:val="bottom"/>
            <w:tcBorders>
              <w:top w:val="single" w:sz="8" w:color="0000FF"/>
            </w:tcBorders>
            <w:gridSpan w:val="2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38"/>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2014 Long-Term Incentive Plan Award Agreement for Restricted Stock Awards (Named Executive Officers)</w:t>
              </w:r>
            </w:hyperlink>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92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(incorporated herein by reference to Exhibit 10.21 of the Company’s Form 10-K filed on November 13, 2014)</w:t>
              </w:r>
            </w:hyperlink>
          </w:p>
        </w:tc>
        <w:tc>
          <w:tcPr>
            <w:tcW w:w="1360" w:type="dxa"/>
            <w:vAlign w:val="bottom"/>
            <w:tcBorders>
              <w:top w:val="single" w:sz="8" w:color="0000FF"/>
            </w:tcBorders>
            <w:gridSpan w:val="11"/>
          </w:tcPr>
          <w:p>
            <w:pPr>
              <w:spacing w:after="0"/>
              <w:rPr>
                <w:sz w:val="14"/>
                <w:szCs w:val="14"/>
                <w:color w:val="auto"/>
              </w:rPr>
            </w:pPr>
          </w:p>
        </w:tc>
        <w:tc>
          <w:tcPr>
            <w:tcW w:w="160" w:type="dxa"/>
            <w:vAlign w:val="bottom"/>
            <w:gridSpan w:val="8"/>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38"/>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2014 Long-Term Incentive Plan Award Agreement for TSR Performance Share Awards (Named Executive Officers)</w:t>
              </w:r>
            </w:hyperlink>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92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(incorporated herein by reference to Exhibit 10.22 of the Company’s Form 10-K filed on November 13, 2014)</w:t>
              </w:r>
            </w:hyperlink>
          </w:p>
        </w:tc>
        <w:tc>
          <w:tcPr>
            <w:tcW w:w="1280" w:type="dxa"/>
            <w:vAlign w:val="bottom"/>
            <w:tcBorders>
              <w:top w:val="single" w:sz="8" w:color="0000FF"/>
            </w:tcBorders>
            <w:gridSpan w:val="7"/>
          </w:tcPr>
          <w:p>
            <w:pPr>
              <w:spacing w:after="0"/>
              <w:rPr>
                <w:sz w:val="14"/>
                <w:szCs w:val="14"/>
                <w:color w:val="auto"/>
              </w:rPr>
            </w:pPr>
          </w:p>
        </w:tc>
        <w:tc>
          <w:tcPr>
            <w:tcW w:w="240" w:type="dxa"/>
            <w:vAlign w:val="bottom"/>
            <w:gridSpan w:val="1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10.5*</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38"/>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2014 Long-Term Incentive Plan Award Agreement for Pre-Tax Income Performance Share Awards (Named Executive</w:t>
              </w:r>
            </w:hyperlink>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2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Officers) (incorporated herein by reference to Exhibit 10.23 of the Company’s Form 10-K filed on November 13, 2014)</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740" w:type="dxa"/>
            <w:vAlign w:val="bottom"/>
            <w:gridSpan w:val="12"/>
            <w:shd w:val="clear" w:color="auto" w:fill="0000FF"/>
          </w:tcPr>
          <w:p>
            <w:pPr>
              <w:spacing w:after="0" w:line="20" w:lineRule="exact"/>
              <w:rPr>
                <w:sz w:val="1"/>
                <w:szCs w:val="1"/>
                <w:color w:val="auto"/>
              </w:rPr>
            </w:pPr>
          </w:p>
        </w:tc>
        <w:tc>
          <w:tcPr>
            <w:tcW w:w="860" w:type="dxa"/>
            <w:vAlign w:val="bottom"/>
            <w:gridSpan w:val="6"/>
            <w:shd w:val="clear" w:color="auto" w:fill="0000FF"/>
          </w:tcPr>
          <w:p>
            <w:pPr>
              <w:spacing w:after="0" w:line="20" w:lineRule="exact"/>
              <w:rPr>
                <w:sz w:val="1"/>
                <w:szCs w:val="1"/>
                <w:color w:val="auto"/>
              </w:rPr>
            </w:pPr>
          </w:p>
        </w:tc>
        <w:tc>
          <w:tcPr>
            <w:tcW w:w="840" w:type="dxa"/>
            <w:vAlign w:val="bottom"/>
            <w:gridSpan w:val="1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10.6*</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38"/>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2014 Long-Term Incentive Plan Award Agreement for Restricted Stock Awards (Non-Employee Directors)</w:t>
              </w:r>
            </w:hyperlink>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92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(incorporated herein by reference to Exhibit 10.24 of the Company’s Form 10-K filed on November 13, 2014)</w:t>
              </w:r>
            </w:hyperlink>
          </w:p>
        </w:tc>
        <w:tc>
          <w:tcPr>
            <w:tcW w:w="1520" w:type="dxa"/>
            <w:vAlign w:val="bottom"/>
            <w:tcBorders>
              <w:top w:val="single" w:sz="8" w:color="0000FF"/>
            </w:tcBorders>
            <w:gridSpan w:val="19"/>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10.7*</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38"/>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2014 Long-Term Incentive Plan Award Agreement for Performance Shares (Named Executive Officers) (incorporated</w:t>
              </w:r>
            </w:hyperlink>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520" w:type="dxa"/>
            <w:vAlign w:val="bottom"/>
            <w:tcBorders>
              <w:top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herein by reference to Exhibit 10.2 of the Company’s Form 10-Q for the quarter ended December 31, 2017)</w:t>
              </w:r>
            </w:hyperlink>
          </w:p>
        </w:tc>
        <w:tc>
          <w:tcPr>
            <w:tcW w:w="20" w:type="dxa"/>
            <w:vAlign w:val="bottom"/>
          </w:tcPr>
          <w:p>
            <w:pPr>
              <w:spacing w:after="0"/>
              <w:rPr>
                <w:sz w:val="14"/>
                <w:szCs w:val="14"/>
                <w:color w:val="auto"/>
              </w:rPr>
            </w:pPr>
          </w:p>
        </w:tc>
      </w:tr>
      <w:tr>
        <w:trPr>
          <w:trHeight w:val="885"/>
        </w:trPr>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0" w:type="dxa"/>
            <w:vAlign w:val="bottom"/>
            <w:tcBorders>
              <w:top w:val="single" w:sz="8" w:color="0000FF"/>
            </w:tcBorders>
            <w:gridSpan w:val="8"/>
          </w:tcPr>
          <w:p>
            <w:pPr>
              <w:ind w:left="3540"/>
              <w:spacing w:after="0"/>
              <w:rPr>
                <w:sz w:val="20"/>
                <w:szCs w:val="20"/>
                <w:color w:val="auto"/>
              </w:rPr>
            </w:pPr>
            <w:r>
              <w:rPr>
                <w:rFonts w:ascii="Times New Roman" w:cs="Times New Roman" w:eastAsia="Times New Roman" w:hAnsi="Times New Roman"/>
                <w:sz w:val="18"/>
                <w:szCs w:val="18"/>
                <w:color w:val="auto"/>
              </w:rPr>
              <w:t>81</w:t>
            </w:r>
          </w:p>
        </w:tc>
        <w:tc>
          <w:tcPr>
            <w:tcW w:w="150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420" w:type="dxa"/>
            <w:vAlign w:val="bottom"/>
            <w:gridSpan w:val="23"/>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Severance and Change In Control Agreement by and between Allan P. Merrill and the Company, effective as of September 18,</w:t>
              </w:r>
            </w:hyperlink>
          </w:p>
        </w:tc>
      </w:tr>
      <w:tr>
        <w:trPr>
          <w:trHeight w:val="169"/>
        </w:trPr>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16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2018 (incorporated herein by reference to Exhibit 10.1 of the Company’s Form 8-K filed on September 24, 2018)</w:t>
              </w:r>
            </w:hyperlink>
          </w:p>
        </w:tc>
        <w:tc>
          <w:tcPr>
            <w:tcW w:w="108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420" w:type="dxa"/>
            <w:vAlign w:val="bottom"/>
            <w:gridSpan w:val="23"/>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Severance and Change In Control Agreement by and between Michael Dunn and the Company, effective as of August 1, 2024</w:t>
              </w:r>
            </w:hyperlink>
          </w:p>
        </w:tc>
      </w:tr>
      <w:tr>
        <w:trPr>
          <w:trHeight w:val="169"/>
        </w:trPr>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(incorporated by reference to Exhibit 10.17 to the Company's Form 10-K filed on November 13, 2024)</w:t>
              </w:r>
            </w:hyperlink>
          </w:p>
        </w:tc>
        <w:tc>
          <w:tcPr>
            <w:tcW w:w="192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420" w:type="dxa"/>
            <w:vAlign w:val="bottom"/>
            <w:gridSpan w:val="23"/>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Severance and Change in Control Agreement, by and between David I. Goldberg and the Company, effective November 20,</w:t>
              </w:r>
            </w:hyperlink>
          </w:p>
        </w:tc>
      </w:tr>
      <w:tr>
        <w:trPr>
          <w:trHeight w:val="169"/>
        </w:trPr>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18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2020 (incorporated herein by reference to Exhibit 10.1 of the Company's Form 8-K/A filed on November 20,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420" w:type="dxa"/>
            <w:vAlign w:val="bottom"/>
            <w:gridSpan w:val="23"/>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Offer Letter by and between Michael Dunn and the Company dated August 1, 2024 (incorporated by reference to Exhibit 10.21</w:t>
              </w:r>
            </w:hyperlink>
          </w:p>
        </w:tc>
      </w:tr>
      <w:tr>
        <w:trPr>
          <w:trHeight w:val="169"/>
        </w:trPr>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to the Company's form 10-K filed on November 13, 2024)</w:t>
              </w:r>
            </w:hyperlink>
          </w:p>
        </w:tc>
        <w:tc>
          <w:tcPr>
            <w:tcW w:w="502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420" w:type="dxa"/>
            <w:vAlign w:val="bottom"/>
            <w:gridSpan w:val="23"/>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Credit Agreement, dated March 11, 2016, by and between Beazer Homes USA, Inc. and Wilmington Trust (incorporated herein</w:t>
              </w:r>
            </w:hyperlink>
          </w:p>
        </w:tc>
      </w:tr>
      <w:tr>
        <w:trPr>
          <w:trHeight w:val="169"/>
        </w:trPr>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by reference to Exhibit 10.1 of the Company’s Form 8-K filed on March 11, 2016)</w:t>
              </w:r>
            </w:hyperlink>
          </w:p>
        </w:tc>
        <w:tc>
          <w:tcPr>
            <w:tcW w:w="20" w:type="dxa"/>
            <w:vAlign w:val="bottom"/>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420" w:type="dxa"/>
            <w:vAlign w:val="bottom"/>
            <w:gridSpan w:val="23"/>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Credit Agreement, dated as of October 13, 2022, among Beazer Homes USA, Inc. and JPMorgan Chase Bank, N.A., as an</w:t>
              </w:r>
            </w:hyperlink>
          </w:p>
        </w:tc>
      </w:tr>
      <w:tr>
        <w:trPr>
          <w:trHeight w:val="169"/>
        </w:trPr>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34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issuing lender and administrative agent (incorporated by reference to Exhibit 10.1 to the Company's Form 8-k, filed on October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137">
              <w:r>
                <w:rPr>
                  <w:rFonts w:ascii="Times New Roman" w:cs="Times New Roman" w:eastAsia="Times New Roman" w:hAnsi="Times New Roman"/>
                  <w:sz w:val="18"/>
                  <w:szCs w:val="18"/>
                  <w:color w:val="0000FF"/>
                  <w:w w:val="95"/>
                </w:rPr>
                <w:t>13, 2022)</w:t>
              </w:r>
            </w:hyperlink>
          </w:p>
        </w:tc>
        <w:tc>
          <w:tcPr>
            <w:tcW w:w="29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420" w:type="dxa"/>
            <w:vAlign w:val="bottom"/>
            <w:gridSpan w:val="23"/>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Commitment Increase Activation Notice dated October 12, 2023, by and among Beazer Homes USA, Inc. Flagstar Bank, N.A.</w:t>
              </w:r>
            </w:hyperlink>
          </w:p>
        </w:tc>
      </w:tr>
      <w:tr>
        <w:trPr>
          <w:trHeight w:val="169"/>
        </w:trPr>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30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and JPMorgan Chase Bank, N.A., as administrative agent and issuing lender (incorporated by reference to Exhibit 10.1 to the</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Company's Form 10-Q, filed on February 1, 2024)</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420" w:type="dxa"/>
            <w:vAlign w:val="bottom"/>
            <w:gridSpan w:val="23"/>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Commitment Increase Activation Notice and New Lender Supplement, dated October 12, 2023, by and among Beazer Homes</w:t>
              </w:r>
            </w:hyperlink>
          </w:p>
        </w:tc>
      </w:tr>
      <w:tr>
        <w:trPr>
          <w:trHeight w:val="169"/>
        </w:trPr>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36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USA, Inc., Texas Capital Bank and JPMorgan Chase Bank, N.A., as an administrative agent and issuing lender (incorporated</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1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by reference to Exhibit 10.2 to the Company's Form 10-Q, filed on February 1, 2024)</w:t>
              </w:r>
            </w:hyperlink>
          </w:p>
        </w:tc>
        <w:tc>
          <w:tcPr>
            <w:tcW w:w="3120" w:type="dxa"/>
            <w:vAlign w:val="bottom"/>
            <w:tcBorders>
              <w:top w:val="single" w:sz="8" w:color="0000FF"/>
            </w:tcBorders>
            <w:gridSpan w:val="8"/>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4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Commitment Increase Activation Notice, dated January 28, 2025, by and among Beazer Homes USA, Inc., Texas Capital Bank</w:t>
              </w:r>
            </w:hyperlink>
          </w:p>
        </w:tc>
      </w:tr>
      <w:tr>
        <w:trPr>
          <w:trHeight w:val="169"/>
        </w:trPr>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20" w:type="dxa"/>
            <w:vAlign w:val="bottom"/>
            <w:gridSpan w:val="23"/>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and JPMorgan Chase Bank, N.A., as administrative agent and issuing lender (incorporated by reference to Exhibit 10.1 to the</w:t>
              </w:r>
            </w:hyperlink>
          </w:p>
        </w:tc>
      </w:tr>
      <w:tr>
        <w:trPr>
          <w:trHeight w:val="156"/>
        </w:trPr>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Company’s Form 10-Q, filed on January 30, 2025)</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420" w:type="dxa"/>
            <w:vAlign w:val="bottom"/>
            <w:gridSpan w:val="23"/>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Commitment Increase Activation Notice and New Lender Supplement, dated January 28, 2025, by and among Beazer Homes</w:t>
              </w:r>
            </w:hyperlink>
          </w:p>
        </w:tc>
      </w:tr>
      <w:tr>
        <w:trPr>
          <w:trHeight w:val="169"/>
        </w:trPr>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USA, Inc., Truist Bank and JPMorgan Chase Bank, N.A., as administrative agent and issuing lender (incorporated by reference</w:t>
              </w:r>
            </w:hyperlink>
          </w:p>
        </w:tc>
        <w:tc>
          <w:tcPr>
            <w:tcW w:w="180" w:type="dxa"/>
            <w:vAlign w:val="bottom"/>
            <w:tcBorders>
              <w:bottom w:val="single" w:sz="8" w:color="0000FF"/>
            </w:tcBorders>
            <w:gridSpan w:val="9"/>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20" w:type="dxa"/>
            <w:vAlign w:val="bottom"/>
            <w:tcBorders>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to Exhibit 10.2 to the Company’s Form 10-Q, filed on January 30, 2025)</w:t>
              </w:r>
            </w:hyperlink>
          </w:p>
        </w:tc>
        <w:tc>
          <w:tcPr>
            <w:tcW w:w="4160" w:type="dxa"/>
            <w:vAlign w:val="bottom"/>
            <w:gridSpan w:val="1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4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Commitment Increase Activation Notice, dated January 28, 2025, by and among Beazer Homes USA, Inc., Texas Capital Bank</w:t>
              </w:r>
            </w:hyperlink>
          </w:p>
        </w:tc>
      </w:tr>
      <w:tr>
        <w:trPr>
          <w:trHeight w:val="169"/>
        </w:trPr>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20" w:type="dxa"/>
            <w:vAlign w:val="bottom"/>
            <w:gridSpan w:val="23"/>
          </w:tcPr>
          <w:p>
            <w:pPr>
              <w:spacing w:after="0" w:line="16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and JPMorgan Chase Bank, N.A., as administrative agent and issuing lender (incorporated by reference to Exhibit 10.1 to the</w:t>
              </w:r>
            </w:hyperlink>
          </w:p>
        </w:tc>
      </w:tr>
      <w:tr>
        <w:trPr>
          <w:trHeight w:val="155"/>
        </w:trPr>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Company’s Form 10-Q, filed on January 30, 2025)</w:t>
              </w:r>
            </w:hyperlink>
          </w:p>
        </w:tc>
        <w:tc>
          <w:tcPr>
            <w:tcW w:w="140" w:type="dxa"/>
            <w:vAlign w:val="bottom"/>
            <w:gridSpan w:val="7"/>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5780" w:type="dxa"/>
            <w:vAlign w:val="bottom"/>
            <w:gridSpan w:val="20"/>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420" w:type="dxa"/>
            <w:vAlign w:val="bottom"/>
            <w:gridSpan w:val="23"/>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Commitment Increase Activation Notice and New Lender Supplement, dated January 28, 2025, by and among Beazer Homes</w:t>
              </w:r>
            </w:hyperlink>
          </w:p>
        </w:tc>
      </w:tr>
      <w:tr>
        <w:trPr>
          <w:trHeight w:val="169"/>
        </w:trPr>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USA, Inc., Truist Bank and JPMorgan Chase Bank, N.A., as administrative agent and issuing lender (incorporated by reference</w:t>
              </w:r>
            </w:hyperlink>
          </w:p>
        </w:tc>
        <w:tc>
          <w:tcPr>
            <w:tcW w:w="220" w:type="dxa"/>
            <w:vAlign w:val="bottom"/>
            <w:gridSpan w:val="11"/>
          </w:tcPr>
          <w:p>
            <w:pPr>
              <w:spacing w:after="0"/>
              <w:rPr>
                <w:sz w:val="14"/>
                <w:szCs w:val="14"/>
                <w:color w:val="auto"/>
              </w:rPr>
            </w:pPr>
          </w:p>
        </w:tc>
      </w:tr>
      <w:tr>
        <w:trPr>
          <w:trHeight w:val="156"/>
        </w:trPr>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to Exhibit 10.2 to the Company’s Form 10-Q, filed on January 30, 2025)</w:t>
              </w:r>
            </w:hyperlink>
          </w:p>
        </w:tc>
        <w:tc>
          <w:tcPr>
            <w:tcW w:w="416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22" w:lineRule="exact"/>
        <w:rPr>
          <w:sz w:val="20"/>
          <w:szCs w:val="20"/>
          <w:color w:val="auto"/>
        </w:rPr>
      </w:pPr>
    </w:p>
    <w:p>
      <w:pPr>
        <w:ind w:left="1940" w:hanging="1940"/>
        <w:spacing w:after="0" w:line="245" w:lineRule="auto"/>
        <w:tabs>
          <w:tab w:leader="none" w:pos="1259" w:val="left"/>
        </w:tabs>
        <w:numPr>
          <w:ilvl w:val="0"/>
          <w:numId w:val="4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w:t>
      </w:r>
      <w:hyperlink r:id="rId142">
        <w:r>
          <w:rPr>
            <w:rFonts w:ascii="Times New Roman" w:cs="Times New Roman" w:eastAsia="Times New Roman" w:hAnsi="Times New Roman"/>
            <w:sz w:val="18"/>
            <w:szCs w:val="18"/>
            <w:u w:val="single" w:color="auto"/>
            <w:color w:val="0000FF"/>
          </w:rPr>
          <w:t>Insider Trading Compliance Policy (incorporated by reference to Exhibit 19 to the Company’s Form 10-K, filed on November</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13, 2024)</w:t>
        </w:r>
      </w:hyperlink>
    </w:p>
    <w:p>
      <w:pPr>
        <w:spacing w:after="0" w:line="1" w:lineRule="exact"/>
        <w:rPr>
          <w:rFonts w:ascii="Times New Roman" w:cs="Times New Roman" w:eastAsia="Times New Roman" w:hAnsi="Times New Roman"/>
          <w:sz w:val="18"/>
          <w:szCs w:val="18"/>
          <w:color w:val="auto"/>
        </w:rPr>
      </w:pPr>
    </w:p>
    <w:p>
      <w:pPr>
        <w:ind w:left="1240" w:hanging="1240"/>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u w:val="single" w:color="auto"/>
          <w:color w:val="0000FF"/>
        </w:rPr>
        <w:t>Subsidiaries of the Company</w:t>
      </w:r>
    </w:p>
    <w:p>
      <w:pPr>
        <w:spacing w:after="0" w:line="22" w:lineRule="exact"/>
        <w:rPr>
          <w:rFonts w:ascii="Times New Roman" w:cs="Times New Roman" w:eastAsia="Times New Roman" w:hAnsi="Times New Roman"/>
          <w:sz w:val="18"/>
          <w:szCs w:val="18"/>
          <w:color w:val="auto"/>
        </w:rPr>
      </w:pPr>
    </w:p>
    <w:p>
      <w:pPr>
        <w:ind w:left="1240" w:hanging="1240"/>
        <w:spacing w:after="0"/>
        <w:tabs>
          <w:tab w:leader="none" w:pos="1240" w:val="left"/>
        </w:tabs>
        <w:numPr>
          <w:ilvl w:val="0"/>
          <w:numId w:val="46"/>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w:t>
      </w:r>
      <w:hyperlink r:id="rId143">
        <w:r>
          <w:rPr>
            <w:rFonts w:ascii="Times New Roman" w:cs="Times New Roman" w:eastAsia="Times New Roman" w:hAnsi="Times New Roman"/>
            <w:sz w:val="17"/>
            <w:szCs w:val="17"/>
            <w:u w:val="single" w:color="auto"/>
            <w:color w:val="0000FF"/>
          </w:rPr>
          <w:t>List of Guarantor Subsidiaries (incorporated herein by reference to Exhibit 22 to the Company’s Form 10-Q filed May 1, 2024)</w:t>
        </w:r>
      </w:hyperlink>
    </w:p>
    <w:p>
      <w:pPr>
        <w:spacing w:after="0" w:line="22" w:lineRule="exact"/>
        <w:rPr>
          <w:rFonts w:ascii="Times New Roman" w:cs="Times New Roman" w:eastAsia="Times New Roman" w:hAnsi="Times New Roman"/>
          <w:sz w:val="17"/>
          <w:szCs w:val="17"/>
          <w:u w:val="single" w:color="auto"/>
          <w:color w:val="0000FF"/>
        </w:rPr>
      </w:pPr>
    </w:p>
    <w:p>
      <w:pPr>
        <w:ind w:left="1240" w:hanging="1240"/>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u w:val="single" w:color="auto"/>
          <w:color w:val="0000FF"/>
        </w:rPr>
        <w:t>Consent of Deloitte &amp; Touche LLP</w:t>
      </w:r>
    </w:p>
    <w:p>
      <w:pPr>
        <w:spacing w:after="0" w:line="5"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pursuant to 17</w:t>
            </w:r>
          </w:p>
        </w:tc>
        <w:tc>
          <w:tcPr>
            <w:tcW w:w="61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CFR 240.13a-14 promulgated under Section 302 of the Sarbanes-Oxley Act of 2002</w:t>
            </w:r>
          </w:p>
        </w:tc>
        <w:tc>
          <w:tcPr>
            <w:tcW w:w="560" w:type="dxa"/>
            <w:vAlign w:val="bottom"/>
          </w:tcPr>
          <w:p>
            <w:pPr>
              <w:spacing w:after="0"/>
              <w:rPr>
                <w:sz w:val="18"/>
                <w:szCs w:val="18"/>
                <w:color w:val="auto"/>
              </w:rPr>
            </w:pPr>
          </w:p>
        </w:tc>
      </w:tr>
      <w:tr>
        <w:trPr>
          <w:trHeight w:val="21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Certification pursuant to 17</w:t>
            </w:r>
          </w:p>
        </w:tc>
        <w:tc>
          <w:tcPr>
            <w:tcW w:w="6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CFR 240.13a-14 promulgated under Section 302 of the Sarbanes-Oxley Act of 2002</w:t>
            </w:r>
          </w:p>
        </w:tc>
      </w:tr>
      <w:tr>
        <w:trPr>
          <w:trHeight w:val="20"/>
        </w:trPr>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08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pursuant to 18</w:t>
            </w:r>
          </w:p>
        </w:tc>
        <w:tc>
          <w:tcPr>
            <w:tcW w:w="666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U.S.C. Section 1350, as adopted pursuant to Section 906 of the Sarbanes-Oxley Act of 2002</w:t>
            </w:r>
          </w:p>
        </w:tc>
      </w:tr>
      <w:tr>
        <w:trPr>
          <w:trHeight w:val="21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pursuant to 18</w:t>
            </w:r>
          </w:p>
        </w:tc>
        <w:tc>
          <w:tcPr>
            <w:tcW w:w="666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U.S.C. Section 1350, as adopted pursuant to Section 906 of the Sarbanes-Oxley Act of 2002</w:t>
            </w:r>
          </w:p>
        </w:tc>
      </w:tr>
    </w:tbl>
    <w:p>
      <w:pPr>
        <w:spacing w:after="0" w:line="22" w:lineRule="exact"/>
        <w:rPr>
          <w:rFonts w:ascii="Times New Roman" w:cs="Times New Roman" w:eastAsia="Times New Roman" w:hAnsi="Times New Roman"/>
          <w:sz w:val="18"/>
          <w:szCs w:val="18"/>
          <w:color w:val="auto"/>
        </w:rPr>
      </w:pPr>
    </w:p>
    <w:p>
      <w:pPr>
        <w:ind w:left="1940" w:hanging="1940"/>
        <w:spacing w:after="0" w:line="245" w:lineRule="auto"/>
        <w:tabs>
          <w:tab w:leader="none" w:pos="1259" w:val="left"/>
        </w:tabs>
        <w:numPr>
          <w:ilvl w:val="0"/>
          <w:numId w:val="4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w:t>
      </w:r>
      <w:hyperlink r:id="rId144">
        <w:r>
          <w:rPr>
            <w:rFonts w:ascii="Times New Roman" w:cs="Times New Roman" w:eastAsia="Times New Roman" w:hAnsi="Times New Roman"/>
            <w:sz w:val="18"/>
            <w:szCs w:val="18"/>
            <w:u w:val="single" w:color="auto"/>
            <w:color w:val="0000FF"/>
          </w:rPr>
          <w:t>Beazer Homes USA, Inc. Clawback Policy (incorporated by reference to Exhibit 97.1 to the Company's Form 10-K, filed</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November 16, 2023)</w:t>
        </w:r>
      </w:hyperlink>
    </w:p>
    <w:p>
      <w:pPr>
        <w:spacing w:after="0" w:line="1" w:lineRule="exact"/>
        <w:rPr>
          <w:rFonts w:ascii="Times New Roman" w:cs="Times New Roman" w:eastAsia="Times New Roman" w:hAnsi="Times New Roman"/>
          <w:sz w:val="18"/>
          <w:szCs w:val="18"/>
          <w:color w:val="auto"/>
        </w:rPr>
      </w:pPr>
    </w:p>
    <w:p>
      <w:pPr>
        <w:ind w:left="1940" w:hanging="1940"/>
        <w:spacing w:after="0" w:line="242" w:lineRule="auto"/>
        <w:tabs>
          <w:tab w:leader="none" w:pos="12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and accompanying notes in Part II, Item 8, “Financial Statements and Supplementary Data” of this Annual Report on Form 10-K are formatted in Inline XBRL</w:t>
      </w:r>
    </w:p>
    <w:p>
      <w:pPr>
        <w:spacing w:after="0" w:line="1" w:lineRule="exact"/>
        <w:rPr>
          <w:rFonts w:ascii="Times New Roman" w:cs="Times New Roman" w:eastAsia="Times New Roman" w:hAnsi="Times New Roman"/>
          <w:sz w:val="18"/>
          <w:szCs w:val="18"/>
          <w:color w:val="auto"/>
        </w:rPr>
      </w:pPr>
    </w:p>
    <w:p>
      <w:pPr>
        <w:ind w:left="-60" w:right="2660" w:firstLine="60"/>
        <w:spacing w:after="0" w:line="573" w:lineRule="auto"/>
        <w:tabs>
          <w:tab w:leader="none" w:pos="124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Cover Page Interactive Data File (formatted in Inline XBRL and contained in Exhibit 101) * Represents a management contract or compensatory plan or arrangement.</w:t>
      </w:r>
    </w:p>
    <w:p>
      <w:pPr>
        <w:spacing w:after="0" w:line="24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148" w:right="399" w:bottom="1440" w:gutter="0" w:footer="0" w:header="0"/>
        </w:sectPr>
      </w:pPr>
    </w:p>
    <w:bookmarkStart w:id="85" w:name="page86"/>
    <w:bookmarkEnd w:id="85"/>
    <w:p>
      <w:pPr>
        <w:ind w:left="132" w:hanging="132"/>
        <w:spacing w:after="0"/>
        <w:tabs>
          <w:tab w:leader="none" w:pos="13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302" w:lineRule="exact"/>
        <w:rPr>
          <w:rFonts w:ascii="Times New Roman" w:cs="Times New Roman" w:eastAsia="Times New Roman" w:hAnsi="Times New Roman"/>
          <w:sz w:val="18"/>
          <w:szCs w:val="18"/>
          <w:color w:val="auto"/>
        </w:rPr>
      </w:pPr>
    </w:p>
    <w:p>
      <w:pPr>
        <w:ind w:left="432" w:hanging="414"/>
        <w:spacing w:after="0"/>
        <w:tabs>
          <w:tab w:leader="none" w:pos="432"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8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Reference is made to Item 15(a)3 above. The following is a list of exhibits, included in item 15(a)3 above, that are filed concurrently with this report.</w:t>
      </w:r>
    </w:p>
    <w:p>
      <w:pPr>
        <w:spacing w:after="0" w:line="347" w:lineRule="exact"/>
        <w:rPr>
          <w:sz w:val="20"/>
          <w:szCs w:val="20"/>
          <w:color w:val="auto"/>
        </w:rPr>
      </w:pPr>
    </w:p>
    <w:p>
      <w:pPr>
        <w:ind w:left="1292" w:hanging="1254"/>
        <w:spacing w:after="0"/>
        <w:tabs>
          <w:tab w:leader="none" w:pos="129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u w:val="single" w:color="auto"/>
          <w:color w:val="0000FF"/>
        </w:rPr>
        <w:t>Subsidiaries of the Company</w:t>
      </w:r>
    </w:p>
    <w:p>
      <w:pPr>
        <w:spacing w:after="0" w:line="27" w:lineRule="exact"/>
        <w:rPr>
          <w:sz w:val="20"/>
          <w:szCs w:val="20"/>
          <w:color w:val="auto"/>
        </w:rPr>
      </w:pPr>
    </w:p>
    <w:p>
      <w:pPr>
        <w:ind w:left="1292" w:hanging="1254"/>
        <w:spacing w:after="0"/>
        <w:tabs>
          <w:tab w:leader="none" w:pos="129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u w:val="single" w:color="auto"/>
          <w:color w:val="0000FF"/>
        </w:rPr>
        <w:t>Consent of Deloitte &amp; Touche LLP</w:t>
      </w:r>
    </w:p>
    <w:p>
      <w:pPr>
        <w:spacing w:after="0" w:line="5" w:lineRule="exact"/>
        <w:rPr>
          <w:sz w:val="20"/>
          <w:szCs w:val="20"/>
          <w:color w:val="auto"/>
        </w:rPr>
      </w:pPr>
    </w:p>
    <w:tbl>
      <w:tblPr>
        <w:tblLayout w:type="fixed"/>
        <w:tblInd w:w="32"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pursuant to 17</w:t>
            </w:r>
          </w:p>
        </w:tc>
        <w:tc>
          <w:tcPr>
            <w:tcW w:w="61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CFR 240.13a-14 promulgated under Section 302 of the Sarbanes-Oxley Act of 2002</w:t>
            </w:r>
          </w:p>
        </w:tc>
        <w:tc>
          <w:tcPr>
            <w:tcW w:w="560" w:type="dxa"/>
            <w:vAlign w:val="bottom"/>
          </w:tcPr>
          <w:p>
            <w:pPr>
              <w:spacing w:after="0"/>
              <w:rPr>
                <w:sz w:val="17"/>
                <w:szCs w:val="17"/>
                <w:color w:val="auto"/>
              </w:rPr>
            </w:pPr>
          </w:p>
        </w:tc>
      </w:tr>
      <w:tr>
        <w:trPr>
          <w:trHeight w:val="20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Certification pursuant to 17</w:t>
            </w:r>
          </w:p>
        </w:tc>
        <w:tc>
          <w:tcPr>
            <w:tcW w:w="6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CFR 240.13a-14 promulgated under Section 302 of the Sarbanes-Oxley Act of 2002</w:t>
            </w:r>
          </w:p>
        </w:tc>
      </w:tr>
      <w:tr>
        <w:trPr>
          <w:trHeight w:val="20"/>
        </w:trPr>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08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pursuant to 18</w:t>
            </w:r>
          </w:p>
        </w:tc>
        <w:tc>
          <w:tcPr>
            <w:tcW w:w="666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U.S.C. Section 1350, as adopted pursuant to Section 906 of the Sarbanes-Oxley Act of 2002</w:t>
            </w:r>
          </w:p>
        </w:tc>
      </w:tr>
      <w:tr>
        <w:trPr>
          <w:trHeight w:val="20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pursuant to 18</w:t>
            </w:r>
          </w:p>
        </w:tc>
        <w:tc>
          <w:tcPr>
            <w:tcW w:w="666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U.S.C. Section 1350, as adopted pursuant to Section 906 of the Sarbanes-Oxley Act of 2002</w:t>
            </w:r>
          </w:p>
        </w:tc>
      </w:tr>
    </w:tbl>
    <w:p>
      <w:pPr>
        <w:spacing w:after="0" w:line="22" w:lineRule="exact"/>
        <w:rPr>
          <w:sz w:val="20"/>
          <w:szCs w:val="20"/>
          <w:color w:val="auto"/>
        </w:rPr>
      </w:pPr>
    </w:p>
    <w:p>
      <w:pPr>
        <w:ind w:left="1992" w:hanging="1954"/>
        <w:spacing w:after="0" w:line="245" w:lineRule="auto"/>
        <w:tabs>
          <w:tab w:leader="none" w:pos="131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and accompanying notes in Part II, Item 8, “Financial Statements and Supplementary Data” of this Annual Report on Form 10-K are formatted in Inline XBRL</w:t>
      </w:r>
    </w:p>
    <w:p>
      <w:pPr>
        <w:spacing w:after="0" w:line="1" w:lineRule="exact"/>
        <w:rPr>
          <w:sz w:val="20"/>
          <w:szCs w:val="20"/>
          <w:color w:val="auto"/>
        </w:rPr>
      </w:pPr>
    </w:p>
    <w:p>
      <w:pPr>
        <w:ind w:left="1292" w:hanging="1254"/>
        <w:spacing w:after="0"/>
        <w:tabs>
          <w:tab w:leader="none" w:pos="1292"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Cover Page Interactive Data File (formatted in Inline XBRL and contained in Exhibit 101)</w:t>
      </w:r>
    </w:p>
    <w:p>
      <w:pPr>
        <w:spacing w:after="0" w:line="260" w:lineRule="exact"/>
        <w:rPr>
          <w:rFonts w:ascii="Times New Roman" w:cs="Times New Roman" w:eastAsia="Times New Roman" w:hAnsi="Times New Roman"/>
          <w:sz w:val="18"/>
          <w:szCs w:val="18"/>
          <w:color w:val="auto"/>
        </w:rPr>
      </w:pPr>
    </w:p>
    <w:p>
      <w:pPr>
        <w:ind w:left="132" w:hanging="132"/>
        <w:spacing w:after="0"/>
        <w:tabs>
          <w:tab w:leader="none" w:pos="13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207" w:lineRule="exact"/>
        <w:rPr>
          <w:rFonts w:ascii="Times New Roman" w:cs="Times New Roman" w:eastAsia="Times New Roman" w:hAnsi="Times New Roman"/>
          <w:sz w:val="18"/>
          <w:szCs w:val="18"/>
          <w:color w:val="auto"/>
        </w:rPr>
      </w:pPr>
    </w:p>
    <w:p>
      <w:pPr>
        <w:ind w:left="412" w:hanging="394"/>
        <w:spacing w:after="0"/>
        <w:tabs>
          <w:tab w:leader="none" w:pos="412"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3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Reference is made to Item 15(a)2 above.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215" w:right="39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36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Beazer Homes USA, Inc.</w:t>
            </w:r>
          </w:p>
        </w:tc>
        <w:tc>
          <w:tcPr>
            <w:tcW w:w="3780" w:type="dxa"/>
            <w:vAlign w:val="bottom"/>
          </w:tcPr>
          <w:p>
            <w:pPr>
              <w:spacing w:after="0"/>
              <w:rPr>
                <w:sz w:val="20"/>
                <w:szCs w:val="20"/>
                <w:color w:val="auto"/>
              </w:rPr>
            </w:pPr>
          </w:p>
        </w:tc>
      </w:tr>
      <w:tr>
        <w:trPr>
          <w:trHeight w:val="378"/>
        </w:trPr>
        <w:tc>
          <w:tcPr>
            <w:tcW w:w="3800" w:type="dxa"/>
            <w:vAlign w:val="bottom"/>
          </w:tcPr>
          <w:p>
            <w:pPr>
              <w:spacing w:after="0"/>
              <w:rPr>
                <w:sz w:val="24"/>
                <w:szCs w:val="24"/>
                <w:color w:val="auto"/>
              </w:rPr>
            </w:pPr>
          </w:p>
        </w:tc>
        <w:tc>
          <w:tcPr>
            <w:tcW w:w="36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Pr>
          <w:p>
            <w:pPr>
              <w:jc w:val="center"/>
              <w:ind w:right="522"/>
              <w:spacing w:after="0"/>
              <w:rPr>
                <w:sz w:val="20"/>
                <w:szCs w:val="20"/>
                <w:color w:val="auto"/>
              </w:rPr>
            </w:pPr>
            <w:r>
              <w:rPr>
                <w:rFonts w:ascii="Times New Roman" w:cs="Times New Roman" w:eastAsia="Times New Roman" w:hAnsi="Times New Roman"/>
                <w:sz w:val="18"/>
                <w:szCs w:val="18"/>
                <w:color w:val="auto"/>
              </w:rPr>
              <w:t>/s/  Allan P. Merrill</w:t>
            </w:r>
          </w:p>
        </w:tc>
      </w:tr>
      <w:tr>
        <w:trPr>
          <w:trHeight w:val="212"/>
        </w:trPr>
        <w:tc>
          <w:tcPr>
            <w:tcW w:w="3800" w:type="dxa"/>
            <w:vAlign w:val="bottom"/>
          </w:tcPr>
          <w:p>
            <w:pPr>
              <w:spacing w:after="0"/>
              <w:rPr>
                <w:sz w:val="18"/>
                <w:szCs w:val="18"/>
                <w:color w:val="auto"/>
              </w:rPr>
            </w:pPr>
          </w:p>
        </w:tc>
        <w:tc>
          <w:tcPr>
            <w:tcW w:w="30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Name:</w:t>
            </w:r>
          </w:p>
        </w:tc>
        <w:tc>
          <w:tcPr>
            <w:tcW w:w="600" w:type="dxa"/>
            <w:vAlign w:val="bottom"/>
            <w:tcBorders>
              <w:top w:val="single" w:sz="8" w:color="auto"/>
            </w:tcBorders>
          </w:tcPr>
          <w:p>
            <w:pPr>
              <w:spacing w:after="0"/>
              <w:rPr>
                <w:sz w:val="18"/>
                <w:szCs w:val="18"/>
                <w:color w:val="auto"/>
              </w:rPr>
            </w:pPr>
          </w:p>
        </w:tc>
        <w:tc>
          <w:tcPr>
            <w:tcW w:w="3780" w:type="dxa"/>
            <w:vAlign w:val="bottom"/>
            <w:tcBorders>
              <w:top w:val="single" w:sz="8" w:color="auto"/>
            </w:tcBorders>
          </w:tcPr>
          <w:p>
            <w:pPr>
              <w:jc w:val="center"/>
              <w:ind w:right="502"/>
              <w:spacing w:after="0"/>
              <w:rPr>
                <w:sz w:val="20"/>
                <w:szCs w:val="20"/>
                <w:color w:val="auto"/>
              </w:rPr>
            </w:pPr>
            <w:r>
              <w:rPr>
                <w:rFonts w:ascii="Times New Roman" w:cs="Times New Roman" w:eastAsia="Times New Roman" w:hAnsi="Times New Roman"/>
                <w:sz w:val="14"/>
                <w:szCs w:val="14"/>
                <w:b w:val="1"/>
                <w:bCs w:val="1"/>
                <w:color w:val="auto"/>
              </w:rPr>
              <w:t>Allan P. Merrill</w:t>
            </w:r>
          </w:p>
        </w:tc>
      </w:tr>
      <w:tr>
        <w:trPr>
          <w:trHeight w:val="190"/>
        </w:trPr>
        <w:tc>
          <w:tcPr>
            <w:tcW w:w="38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80" w:type="dxa"/>
            <w:vAlign w:val="bottom"/>
          </w:tcPr>
          <w:p>
            <w:pPr>
              <w:jc w:val="center"/>
              <w:ind w:right="522"/>
              <w:spacing w:after="0"/>
              <w:rPr>
                <w:sz w:val="20"/>
                <w:szCs w:val="20"/>
                <w:color w:val="auto"/>
              </w:rPr>
            </w:pPr>
            <w:r>
              <w:rPr>
                <w:rFonts w:ascii="Times New Roman" w:cs="Times New Roman" w:eastAsia="Times New Roman" w:hAnsi="Times New Roman"/>
                <w:sz w:val="14"/>
                <w:szCs w:val="14"/>
                <w:b w:val="1"/>
                <w:bCs w:val="1"/>
                <w:color w:val="auto"/>
              </w:rPr>
              <w:t>Chairman, President and Chief Executive Officer</w:t>
            </w:r>
          </w:p>
        </w:tc>
      </w:tr>
    </w:tbl>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65" w:right="339" w:bottom="1440" w:gutter="0" w:footer="0" w:header="0"/>
        </w:sectPr>
      </w:pP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13, 2025</w:t>
            </w:r>
          </w:p>
        </w:tc>
        <w:tc>
          <w:tcPr>
            <w:tcW w:w="2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5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74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w w:val="99"/>
              </w:rPr>
              <w:t>Name:</w:t>
            </w:r>
          </w:p>
        </w:tc>
      </w:tr>
      <w:tr>
        <w:trPr>
          <w:trHeight w:val="670"/>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13, 2025</w:t>
            </w:r>
          </w:p>
        </w:tc>
        <w:tc>
          <w:tcPr>
            <w:tcW w:w="2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5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74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w w:val="99"/>
              </w:rPr>
              <w:t>Name:</w:t>
            </w:r>
          </w:p>
        </w:tc>
      </w:tr>
      <w:tr>
        <w:trPr>
          <w:trHeight w:val="68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13, 2025</w:t>
            </w:r>
          </w:p>
        </w:tc>
        <w:tc>
          <w:tcPr>
            <w:tcW w:w="2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5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74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w w:val="99"/>
              </w:rPr>
              <w:t>Name:</w:t>
            </w:r>
          </w:p>
        </w:tc>
      </w:tr>
      <w:tr>
        <w:trPr>
          <w:trHeight w:val="68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13, 2025</w:t>
            </w:r>
          </w:p>
        </w:tc>
        <w:tc>
          <w:tcPr>
            <w:tcW w:w="2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5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74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w w:val="99"/>
              </w:rPr>
              <w:t>Name:</w:t>
            </w:r>
          </w:p>
        </w:tc>
      </w:tr>
      <w:tr>
        <w:trPr>
          <w:trHeight w:val="67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13, 2025</w:t>
            </w:r>
          </w:p>
        </w:tc>
        <w:tc>
          <w:tcPr>
            <w:tcW w:w="2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5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74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w w:val="99"/>
              </w:rPr>
              <w:t>Name:</w:t>
            </w:r>
          </w:p>
        </w:tc>
      </w:tr>
      <w:tr>
        <w:trPr>
          <w:trHeight w:val="68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13, 2025</w:t>
            </w:r>
          </w:p>
        </w:tc>
        <w:tc>
          <w:tcPr>
            <w:tcW w:w="2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5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74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w w:val="99"/>
              </w:rPr>
              <w:t>Name:</w:t>
            </w:r>
          </w:p>
        </w:tc>
      </w:tr>
      <w:tr>
        <w:trPr>
          <w:trHeight w:val="68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13, 2025</w:t>
            </w:r>
          </w:p>
        </w:tc>
        <w:tc>
          <w:tcPr>
            <w:tcW w:w="2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5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74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w w:val="99"/>
              </w:rPr>
              <w:t>Name:</w:t>
            </w:r>
          </w:p>
        </w:tc>
      </w:tr>
      <w:tr>
        <w:trPr>
          <w:trHeight w:val="67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13, 2025</w:t>
            </w:r>
          </w:p>
        </w:tc>
        <w:tc>
          <w:tcPr>
            <w:tcW w:w="2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5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74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w w:val="99"/>
              </w:rPr>
              <w:t>Name:</w:t>
            </w:r>
          </w:p>
        </w:tc>
      </w:tr>
      <w:tr>
        <w:trPr>
          <w:trHeight w:val="684"/>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13, 2025</w:t>
            </w:r>
          </w:p>
        </w:tc>
        <w:tc>
          <w:tcPr>
            <w:tcW w:w="2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5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74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w w:val="99"/>
              </w:rPr>
              <w:t>Name:</w:t>
            </w:r>
          </w:p>
        </w:tc>
      </w:tr>
    </w:tbl>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6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/s/</w:t>
            </w:r>
          </w:p>
        </w:tc>
        <w:tc>
          <w:tcPr>
            <w:tcW w:w="2740" w:type="dxa"/>
            <w:vAlign w:val="bottom"/>
            <w:tcBorders>
              <w:bottom w:val="single" w:sz="8" w:color="auto"/>
            </w:tcBorders>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7"/>
              </w:rPr>
              <w:t>Allan P. Merrill</w:t>
            </w:r>
          </w:p>
        </w:tc>
      </w:tr>
      <w:tr>
        <w:trPr>
          <w:trHeight w:val="184"/>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740" w:type="dxa"/>
            <w:vAlign w:val="bottom"/>
            <w:gridSpan w:val="2"/>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rPr>
              <w:t>Allan P. Merrill</w:t>
            </w:r>
          </w:p>
        </w:tc>
      </w:tr>
      <w:tr>
        <w:trPr>
          <w:trHeight w:val="218"/>
        </w:trPr>
        <w:tc>
          <w:tcPr>
            <w:tcW w:w="20" w:type="dxa"/>
            <w:vAlign w:val="bottom"/>
          </w:tcPr>
          <w:p>
            <w:pPr>
              <w:spacing w:after="0"/>
              <w:rPr>
                <w:sz w:val="18"/>
                <w:szCs w:val="18"/>
                <w:color w:val="auto"/>
              </w:rPr>
            </w:pPr>
          </w:p>
        </w:tc>
        <w:tc>
          <w:tcPr>
            <w:tcW w:w="44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Chairman, President, Chief Executive Officer and Director</w:t>
            </w:r>
          </w:p>
        </w:tc>
      </w:tr>
      <w:tr>
        <w:trPr>
          <w:trHeight w:val="483"/>
        </w:trPr>
        <w:tc>
          <w:tcPr>
            <w:tcW w:w="20" w:type="dxa"/>
            <w:vAlign w:val="bottom"/>
          </w:tcPr>
          <w:p>
            <w:pPr>
              <w:spacing w:after="0"/>
              <w:rPr>
                <w:sz w:val="24"/>
                <w:szCs w:val="24"/>
                <w:color w:val="auto"/>
              </w:rPr>
            </w:pPr>
          </w:p>
        </w:tc>
        <w:tc>
          <w:tcPr>
            <w:tcW w:w="16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w:t>
            </w:r>
          </w:p>
        </w:tc>
        <w:tc>
          <w:tcPr>
            <w:tcW w:w="274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color w:val="auto"/>
                <w:w w:val="98"/>
              </w:rPr>
              <w:t>David I. Goldberg</w:t>
            </w:r>
          </w:p>
        </w:tc>
      </w:tr>
      <w:tr>
        <w:trPr>
          <w:trHeight w:val="184"/>
        </w:trPr>
        <w:tc>
          <w:tcPr>
            <w:tcW w:w="20" w:type="dxa"/>
            <w:vAlign w:val="bottom"/>
            <w:tcBorders>
              <w:top w:val="single" w:sz="8" w:color="auto"/>
            </w:tcBorders>
          </w:tcPr>
          <w:p>
            <w:pPr>
              <w:spacing w:after="0"/>
              <w:rPr>
                <w:sz w:val="15"/>
                <w:szCs w:val="15"/>
                <w:color w:val="auto"/>
              </w:rPr>
            </w:pPr>
          </w:p>
        </w:tc>
        <w:tc>
          <w:tcPr>
            <w:tcW w:w="43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David I. Goldberg</w:t>
            </w:r>
          </w:p>
        </w:tc>
        <w:tc>
          <w:tcPr>
            <w:tcW w:w="20" w:type="dxa"/>
            <w:vAlign w:val="bottom"/>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44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Senior Vice President and Chief Financial Officer</w:t>
            </w:r>
          </w:p>
        </w:tc>
      </w:tr>
      <w:tr>
        <w:trPr>
          <w:trHeight w:val="496"/>
        </w:trPr>
        <w:tc>
          <w:tcPr>
            <w:tcW w:w="20" w:type="dxa"/>
            <w:vAlign w:val="bottom"/>
          </w:tcPr>
          <w:p>
            <w:pPr>
              <w:spacing w:after="0"/>
              <w:rPr>
                <w:sz w:val="24"/>
                <w:szCs w:val="24"/>
                <w:color w:val="auto"/>
              </w:rPr>
            </w:pPr>
          </w:p>
        </w:tc>
        <w:tc>
          <w:tcPr>
            <w:tcW w:w="166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w:t>
            </w:r>
          </w:p>
        </w:tc>
        <w:tc>
          <w:tcPr>
            <w:tcW w:w="2740" w:type="dxa"/>
            <w:vAlign w:val="bottom"/>
            <w:tcBorders>
              <w:bottom w:val="single" w:sz="8" w:color="auto"/>
            </w:tcBorders>
            <w:gridSpan w:val="2"/>
          </w:tcPr>
          <w:p>
            <w:pPr>
              <w:jc w:val="center"/>
              <w:ind w:right="1320"/>
              <w:spacing w:after="0"/>
              <w:rPr>
                <w:sz w:val="20"/>
                <w:szCs w:val="20"/>
                <w:color w:val="auto"/>
              </w:rPr>
            </w:pPr>
            <w:r>
              <w:rPr>
                <w:rFonts w:ascii="Times New Roman" w:cs="Times New Roman" w:eastAsia="Times New Roman" w:hAnsi="Times New Roman"/>
                <w:sz w:val="18"/>
                <w:szCs w:val="18"/>
                <w:color w:val="auto"/>
                <w:w w:val="99"/>
              </w:rPr>
              <w:t>Lloyd E. Johnson</w:t>
            </w:r>
          </w:p>
        </w:tc>
      </w:tr>
      <w:tr>
        <w:trPr>
          <w:trHeight w:val="186"/>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740" w:type="dxa"/>
            <w:vAlign w:val="bottom"/>
            <w:gridSpan w:val="2"/>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rPr>
              <w:t>Lloyd E. Johnson</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740" w:type="dxa"/>
            <w:vAlign w:val="bottom"/>
            <w:gridSpan w:val="2"/>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rPr>
              <w:t>Director</w:t>
            </w:r>
          </w:p>
        </w:tc>
      </w:tr>
      <w:tr>
        <w:trPr>
          <w:trHeight w:val="496"/>
        </w:trPr>
        <w:tc>
          <w:tcPr>
            <w:tcW w:w="20" w:type="dxa"/>
            <w:vAlign w:val="bottom"/>
          </w:tcPr>
          <w:p>
            <w:pPr>
              <w:spacing w:after="0"/>
              <w:rPr>
                <w:sz w:val="24"/>
                <w:szCs w:val="24"/>
                <w:color w:val="auto"/>
              </w:rPr>
            </w:pPr>
          </w:p>
        </w:tc>
        <w:tc>
          <w:tcPr>
            <w:tcW w:w="166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/s/</w:t>
            </w:r>
          </w:p>
        </w:tc>
        <w:tc>
          <w:tcPr>
            <w:tcW w:w="2740" w:type="dxa"/>
            <w:vAlign w:val="bottom"/>
            <w:tcBorders>
              <w:bottom w:val="single" w:sz="8" w:color="auto"/>
            </w:tcBorders>
            <w:gridSpan w:val="2"/>
          </w:tcPr>
          <w:p>
            <w:pPr>
              <w:jc w:val="center"/>
              <w:ind w:right="1320"/>
              <w:spacing w:after="0"/>
              <w:rPr>
                <w:sz w:val="20"/>
                <w:szCs w:val="20"/>
                <w:color w:val="auto"/>
              </w:rPr>
            </w:pPr>
            <w:r>
              <w:rPr>
                <w:rFonts w:ascii="Times New Roman" w:cs="Times New Roman" w:eastAsia="Times New Roman" w:hAnsi="Times New Roman"/>
                <w:sz w:val="18"/>
                <w:szCs w:val="18"/>
                <w:color w:val="auto"/>
              </w:rPr>
              <w:t>John J. Kelley III</w:t>
            </w:r>
          </w:p>
        </w:tc>
      </w:tr>
      <w:tr>
        <w:trPr>
          <w:trHeight w:val="186"/>
        </w:trPr>
        <w:tc>
          <w:tcPr>
            <w:tcW w:w="20" w:type="dxa"/>
            <w:vAlign w:val="bottom"/>
          </w:tcPr>
          <w:p>
            <w:pPr>
              <w:spacing w:after="0"/>
              <w:rPr>
                <w:sz w:val="16"/>
                <w:szCs w:val="16"/>
                <w:color w:val="auto"/>
              </w:rPr>
            </w:pPr>
          </w:p>
        </w:tc>
        <w:tc>
          <w:tcPr>
            <w:tcW w:w="4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John J. Kelley III</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740" w:type="dxa"/>
            <w:vAlign w:val="bottom"/>
            <w:gridSpan w:val="2"/>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rPr>
              <w:t>Director</w:t>
            </w:r>
          </w:p>
        </w:tc>
      </w:tr>
      <w:tr>
        <w:trPr>
          <w:trHeight w:val="483"/>
        </w:trPr>
        <w:tc>
          <w:tcPr>
            <w:tcW w:w="20" w:type="dxa"/>
            <w:vAlign w:val="bottom"/>
          </w:tcPr>
          <w:p>
            <w:pPr>
              <w:spacing w:after="0"/>
              <w:rPr>
                <w:sz w:val="24"/>
                <w:szCs w:val="24"/>
                <w:color w:val="auto"/>
              </w:rPr>
            </w:pPr>
          </w:p>
        </w:tc>
        <w:tc>
          <w:tcPr>
            <w:tcW w:w="166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w w:val="93"/>
              </w:rPr>
              <w:t>/s/</w:t>
            </w:r>
          </w:p>
        </w:tc>
        <w:tc>
          <w:tcPr>
            <w:tcW w:w="2740" w:type="dxa"/>
            <w:vAlign w:val="bottom"/>
            <w:tcBorders>
              <w:bottom w:val="single" w:sz="8" w:color="auto"/>
            </w:tcBorders>
            <w:gridSpan w:val="2"/>
          </w:tcPr>
          <w:p>
            <w:pPr>
              <w:jc w:val="center"/>
              <w:ind w:right="1320"/>
              <w:spacing w:after="0"/>
              <w:rPr>
                <w:sz w:val="20"/>
                <w:szCs w:val="20"/>
                <w:color w:val="auto"/>
              </w:rPr>
            </w:pPr>
            <w:r>
              <w:rPr>
                <w:rFonts w:ascii="Times New Roman" w:cs="Times New Roman" w:eastAsia="Times New Roman" w:hAnsi="Times New Roman"/>
                <w:sz w:val="18"/>
                <w:szCs w:val="18"/>
                <w:color w:val="auto"/>
                <w:w w:val="99"/>
              </w:rPr>
              <w:t>Peter M. Orser</w:t>
            </w:r>
          </w:p>
        </w:tc>
      </w:tr>
      <w:tr>
        <w:trPr>
          <w:trHeight w:val="184"/>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740" w:type="dxa"/>
            <w:vAlign w:val="bottom"/>
            <w:gridSpan w:val="2"/>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Peter M. Orser</w:t>
            </w:r>
          </w:p>
        </w:tc>
      </w:tr>
      <w:tr>
        <w:trPr>
          <w:trHeight w:val="218"/>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740" w:type="dxa"/>
            <w:vAlign w:val="bottom"/>
            <w:gridSpan w:val="2"/>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rPr>
              <w:t>Director</w:t>
            </w:r>
          </w:p>
        </w:tc>
      </w:tr>
    </w:tbl>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/s/</w:t>
            </w:r>
          </w:p>
        </w:tc>
        <w:tc>
          <w:tcPr>
            <w:tcW w:w="2780" w:type="dxa"/>
            <w:vAlign w:val="bottom"/>
            <w:tcBorders>
              <w:bottom w:val="single" w:sz="8" w:color="auto"/>
            </w:tcBorders>
            <w:gridSpan w:val="2"/>
          </w:tcPr>
          <w:p>
            <w:pPr>
              <w:jc w:val="center"/>
              <w:ind w:right="1280"/>
              <w:spacing w:after="0"/>
              <w:rPr>
                <w:sz w:val="20"/>
                <w:szCs w:val="20"/>
                <w:color w:val="auto"/>
              </w:rPr>
            </w:pPr>
            <w:r>
              <w:rPr>
                <w:rFonts w:ascii="Times New Roman" w:cs="Times New Roman" w:eastAsia="Times New Roman" w:hAnsi="Times New Roman"/>
                <w:sz w:val="18"/>
                <w:szCs w:val="18"/>
                <w:color w:val="auto"/>
              </w:rPr>
              <w:t>Norma A. Provencio</w:t>
            </w:r>
          </w:p>
        </w:tc>
      </w:tr>
      <w:tr>
        <w:trPr>
          <w:trHeight w:val="184"/>
        </w:trPr>
        <w:tc>
          <w:tcPr>
            <w:tcW w:w="20" w:type="dxa"/>
            <w:vAlign w:val="bottom"/>
          </w:tcPr>
          <w:p>
            <w:pPr>
              <w:spacing w:after="0"/>
              <w:rPr>
                <w:sz w:val="15"/>
                <w:szCs w:val="15"/>
                <w:color w:val="auto"/>
              </w:rPr>
            </w:pPr>
          </w:p>
        </w:tc>
        <w:tc>
          <w:tcPr>
            <w:tcW w:w="44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Norma A. Provencio</w:t>
            </w:r>
          </w:p>
        </w:tc>
      </w:tr>
      <w:tr>
        <w:trPr>
          <w:trHeight w:val="218"/>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780" w:type="dxa"/>
            <w:vAlign w:val="bottom"/>
            <w:gridSpan w:val="2"/>
          </w:tcPr>
          <w:p>
            <w:pPr>
              <w:jc w:val="center"/>
              <w:ind w:right="1620"/>
              <w:spacing w:after="0"/>
              <w:rPr>
                <w:sz w:val="20"/>
                <w:szCs w:val="20"/>
                <w:color w:val="auto"/>
              </w:rPr>
            </w:pPr>
            <w:r>
              <w:rPr>
                <w:rFonts w:ascii="Times New Roman" w:cs="Times New Roman" w:eastAsia="Times New Roman" w:hAnsi="Times New Roman"/>
                <w:sz w:val="14"/>
                <w:szCs w:val="14"/>
                <w:b w:val="1"/>
                <w:bCs w:val="1"/>
                <w:color w:val="auto"/>
              </w:rPr>
              <w:t>Director</w:t>
            </w:r>
          </w:p>
        </w:tc>
      </w:tr>
      <w:tr>
        <w:trPr>
          <w:trHeight w:val="496"/>
        </w:trPr>
        <w:tc>
          <w:tcPr>
            <w:tcW w:w="20" w:type="dxa"/>
            <w:vAlign w:val="bottom"/>
          </w:tcPr>
          <w:p>
            <w:pPr>
              <w:spacing w:after="0"/>
              <w:rPr>
                <w:sz w:val="24"/>
                <w:szCs w:val="24"/>
                <w:color w:val="auto"/>
              </w:rPr>
            </w:pPr>
          </w:p>
        </w:tc>
        <w:tc>
          <w:tcPr>
            <w:tcW w:w="44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/s/  June Sauvaget</w:t>
            </w:r>
          </w:p>
        </w:tc>
      </w:tr>
      <w:tr>
        <w:trPr>
          <w:trHeight w:val="184"/>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780" w:type="dxa"/>
            <w:vAlign w:val="bottom"/>
            <w:gridSpan w:val="2"/>
          </w:tcPr>
          <w:p>
            <w:pPr>
              <w:jc w:val="center"/>
              <w:ind w:right="1640"/>
              <w:spacing w:after="0"/>
              <w:rPr>
                <w:sz w:val="20"/>
                <w:szCs w:val="20"/>
                <w:color w:val="auto"/>
              </w:rPr>
            </w:pPr>
            <w:r>
              <w:rPr>
                <w:rFonts w:ascii="Times New Roman" w:cs="Times New Roman" w:eastAsia="Times New Roman" w:hAnsi="Times New Roman"/>
                <w:sz w:val="14"/>
                <w:szCs w:val="14"/>
                <w:b w:val="1"/>
                <w:bCs w:val="1"/>
                <w:color w:val="auto"/>
              </w:rPr>
              <w:t>June Sauvaget</w:t>
            </w:r>
          </w:p>
        </w:tc>
      </w:tr>
      <w:tr>
        <w:trPr>
          <w:trHeight w:val="218"/>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780" w:type="dxa"/>
            <w:vAlign w:val="bottom"/>
            <w:gridSpan w:val="2"/>
          </w:tcPr>
          <w:p>
            <w:pPr>
              <w:jc w:val="center"/>
              <w:ind w:right="1620"/>
              <w:spacing w:after="0"/>
              <w:rPr>
                <w:sz w:val="20"/>
                <w:szCs w:val="20"/>
                <w:color w:val="auto"/>
              </w:rPr>
            </w:pPr>
            <w:r>
              <w:rPr>
                <w:rFonts w:ascii="Times New Roman" w:cs="Times New Roman" w:eastAsia="Times New Roman" w:hAnsi="Times New Roman"/>
                <w:sz w:val="14"/>
                <w:szCs w:val="14"/>
                <w:b w:val="1"/>
                <w:bCs w:val="1"/>
                <w:color w:val="auto"/>
              </w:rPr>
              <w:t>Director</w:t>
            </w:r>
          </w:p>
        </w:tc>
      </w:tr>
      <w:tr>
        <w:trPr>
          <w:trHeight w:val="483"/>
        </w:trPr>
        <w:tc>
          <w:tcPr>
            <w:tcW w:w="20" w:type="dxa"/>
            <w:vAlign w:val="bottom"/>
          </w:tcPr>
          <w:p>
            <w:pPr>
              <w:spacing w:after="0"/>
              <w:rPr>
                <w:sz w:val="24"/>
                <w:szCs w:val="24"/>
                <w:color w:val="auto"/>
              </w:rPr>
            </w:pPr>
          </w:p>
        </w:tc>
        <w:tc>
          <w:tcPr>
            <w:tcW w:w="16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/s/</w:t>
            </w:r>
          </w:p>
        </w:tc>
        <w:tc>
          <w:tcPr>
            <w:tcW w:w="2780" w:type="dxa"/>
            <w:vAlign w:val="bottom"/>
            <w:tcBorders>
              <w:bottom w:val="single" w:sz="8" w:color="auto"/>
            </w:tcBorders>
            <w:gridSpan w:val="2"/>
          </w:tcPr>
          <w:p>
            <w:pPr>
              <w:jc w:val="center"/>
              <w:ind w:right="1280"/>
              <w:spacing w:after="0"/>
              <w:rPr>
                <w:sz w:val="20"/>
                <w:szCs w:val="20"/>
                <w:color w:val="auto"/>
              </w:rPr>
            </w:pPr>
            <w:r>
              <w:rPr>
                <w:rFonts w:ascii="Times New Roman" w:cs="Times New Roman" w:eastAsia="Times New Roman" w:hAnsi="Times New Roman"/>
                <w:sz w:val="18"/>
                <w:szCs w:val="18"/>
                <w:color w:val="auto"/>
              </w:rPr>
              <w:t>Danny R. Shepherd</w:t>
            </w:r>
          </w:p>
        </w:tc>
      </w:tr>
      <w:tr>
        <w:trPr>
          <w:trHeight w:val="184"/>
        </w:trPr>
        <w:tc>
          <w:tcPr>
            <w:tcW w:w="20" w:type="dxa"/>
            <w:vAlign w:val="bottom"/>
          </w:tcPr>
          <w:p>
            <w:pPr>
              <w:spacing w:after="0"/>
              <w:rPr>
                <w:sz w:val="15"/>
                <w:szCs w:val="15"/>
                <w:color w:val="auto"/>
              </w:rPr>
            </w:pPr>
          </w:p>
        </w:tc>
        <w:tc>
          <w:tcPr>
            <w:tcW w:w="44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Danny R. Shepherd</w:t>
            </w:r>
          </w:p>
        </w:tc>
      </w:tr>
      <w:tr>
        <w:trPr>
          <w:trHeight w:val="218"/>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780" w:type="dxa"/>
            <w:vAlign w:val="bottom"/>
            <w:gridSpan w:val="2"/>
          </w:tcPr>
          <w:p>
            <w:pPr>
              <w:jc w:val="center"/>
              <w:ind w:right="1620"/>
              <w:spacing w:after="0"/>
              <w:rPr>
                <w:sz w:val="20"/>
                <w:szCs w:val="20"/>
                <w:color w:val="auto"/>
              </w:rPr>
            </w:pPr>
            <w:r>
              <w:rPr>
                <w:rFonts w:ascii="Times New Roman" w:cs="Times New Roman" w:eastAsia="Times New Roman" w:hAnsi="Times New Roman"/>
                <w:sz w:val="14"/>
                <w:szCs w:val="14"/>
                <w:b w:val="1"/>
                <w:bCs w:val="1"/>
                <w:color w:val="auto"/>
              </w:rPr>
              <w:t>Director</w:t>
            </w:r>
          </w:p>
        </w:tc>
      </w:tr>
      <w:tr>
        <w:trPr>
          <w:trHeight w:val="496"/>
        </w:trPr>
        <w:tc>
          <w:tcPr>
            <w:tcW w:w="20" w:type="dxa"/>
            <w:vAlign w:val="bottom"/>
          </w:tcPr>
          <w:p>
            <w:pPr>
              <w:spacing w:after="0"/>
              <w:rPr>
                <w:sz w:val="24"/>
                <w:szCs w:val="24"/>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3"/>
              </w:rPr>
              <w:t>/s/</w:t>
            </w:r>
          </w:p>
        </w:tc>
        <w:tc>
          <w:tcPr>
            <w:tcW w:w="278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color w:val="auto"/>
                <w:w w:val="97"/>
              </w:rPr>
              <w:t>Alyssa P. Steele</w:t>
            </w:r>
          </w:p>
        </w:tc>
      </w:tr>
      <w:tr>
        <w:trPr>
          <w:trHeight w:val="184"/>
        </w:trPr>
        <w:tc>
          <w:tcPr>
            <w:tcW w:w="2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2760" w:type="dxa"/>
            <w:vAlign w:val="bottom"/>
            <w:tcBorders>
              <w:top w:val="single" w:sz="8" w:color="auto"/>
            </w:tcBorders>
          </w:tcPr>
          <w:p>
            <w:pPr>
              <w:jc w:val="center"/>
              <w:ind w:right="1562"/>
              <w:spacing w:after="0"/>
              <w:rPr>
                <w:sz w:val="20"/>
                <w:szCs w:val="20"/>
                <w:color w:val="auto"/>
              </w:rPr>
            </w:pPr>
            <w:r>
              <w:rPr>
                <w:rFonts w:ascii="Times New Roman" w:cs="Times New Roman" w:eastAsia="Times New Roman" w:hAnsi="Times New Roman"/>
                <w:sz w:val="14"/>
                <w:szCs w:val="14"/>
                <w:b w:val="1"/>
                <w:bCs w:val="1"/>
                <w:color w:val="auto"/>
              </w:rPr>
              <w:t>Alyssa P. Steele</w:t>
            </w:r>
          </w:p>
        </w:tc>
        <w:tc>
          <w:tcPr>
            <w:tcW w:w="20" w:type="dxa"/>
            <w:vAlign w:val="bottom"/>
          </w:tcPr>
          <w:p>
            <w:pPr>
              <w:spacing w:after="0"/>
              <w:rPr>
                <w:sz w:val="15"/>
                <w:szCs w:val="15"/>
                <w:color w:val="auto"/>
              </w:rPr>
            </w:pPr>
          </w:p>
        </w:tc>
      </w:tr>
      <w:tr>
        <w:trPr>
          <w:trHeight w:val="218"/>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780" w:type="dxa"/>
            <w:vAlign w:val="bottom"/>
            <w:gridSpan w:val="2"/>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rPr>
              <w:t>Director</w:t>
            </w:r>
          </w:p>
        </w:tc>
      </w:tr>
    </w:tbl>
    <w:p>
      <w:pPr>
        <w:spacing w:after="0" w:line="200" w:lineRule="exact"/>
        <w:rPr>
          <w:sz w:val="20"/>
          <w:szCs w:val="20"/>
          <w:color w:val="auto"/>
        </w:rPr>
      </w:pPr>
    </w:p>
    <w:p>
      <w:pPr>
        <w:sectPr>
          <w:pgSz w:w="11900" w:h="16838" w:orient="portrait"/>
          <w:cols w:equalWidth="0" w:num="2">
            <w:col w:w="6560" w:space="260"/>
            <w:col w:w="4420"/>
          </w:cols>
          <w:pgMar w:left="320" w:top="1265" w:right="33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30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 Christian Winkle</w:t>
            </w:r>
          </w:p>
        </w:tc>
      </w:tr>
      <w:tr>
        <w:trPr>
          <w:trHeight w:val="212"/>
        </w:trPr>
        <w:tc>
          <w:tcPr>
            <w:tcW w:w="3760" w:type="dxa"/>
            <w:vAlign w:val="bottom"/>
          </w:tcPr>
          <w:p>
            <w:pPr>
              <w:spacing w:after="0"/>
              <w:rPr>
                <w:sz w:val="18"/>
                <w:szCs w:val="18"/>
                <w:color w:val="auto"/>
              </w:rPr>
            </w:pPr>
          </w:p>
        </w:tc>
        <w:tc>
          <w:tcPr>
            <w:tcW w:w="30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Christian Winkle</w:t>
            </w:r>
          </w:p>
        </w:tc>
      </w:tr>
      <w:tr>
        <w:trPr>
          <w:trHeight w:val="190"/>
        </w:trPr>
        <w:tc>
          <w:tcPr>
            <w:tcW w:w="37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r>
      <w:tr>
        <w:trPr>
          <w:trHeight w:val="901"/>
        </w:trPr>
        <w:tc>
          <w:tcPr>
            <w:tcW w:w="3760" w:type="dxa"/>
            <w:vAlign w:val="bottom"/>
          </w:tcPr>
          <w:p>
            <w:pPr>
              <w:spacing w:after="0"/>
              <w:rPr>
                <w:sz w:val="24"/>
                <w:szCs w:val="24"/>
                <w:color w:val="auto"/>
              </w:rPr>
            </w:pPr>
          </w:p>
        </w:tc>
        <w:tc>
          <w:tcPr>
            <w:tcW w:w="30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85</w:t>
            </w:r>
          </w:p>
        </w:tc>
        <w:tc>
          <w:tcPr>
            <w:tcW w:w="4400" w:type="dxa"/>
            <w:vAlign w:val="bottom"/>
          </w:tcPr>
          <w:p>
            <w:pPr>
              <w:spacing w:after="0"/>
              <w:rPr>
                <w:sz w:val="24"/>
                <w:szCs w:val="24"/>
                <w:color w:val="auto"/>
              </w:rPr>
            </w:pPr>
          </w:p>
        </w:tc>
      </w:tr>
    </w:tbl>
    <w:p>
      <w:pPr>
        <w:sectPr>
          <w:pgSz w:w="11900" w:h="16838" w:orient="portrait"/>
          <w:cols w:equalWidth="0" w:num="1">
            <w:col w:w="11160"/>
          </w:cols>
          <w:pgMar w:left="380" w:top="1201" w:right="35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c>
          <w:tcPr>
            <w:tcW w:w="0" w:type="dxa"/>
            <w:vAlign w:val="bottom"/>
          </w:tcPr>
          <w:p>
            <w:pPr>
              <w:spacing w:after="0"/>
              <w:rPr>
                <w:sz w:val="1"/>
                <w:szCs w:val="1"/>
                <w:color w:val="auto"/>
              </w:rPr>
            </w:pPr>
          </w:p>
        </w:tc>
      </w:tr>
      <w:tr>
        <w:trPr>
          <w:trHeight w:val="459"/>
        </w:trPr>
        <w:tc>
          <w:tcPr>
            <w:tcW w:w="3640" w:type="dxa"/>
            <w:vAlign w:val="bottom"/>
          </w:tcPr>
          <w:p>
            <w:pPr>
              <w:spacing w:after="0"/>
              <w:rPr>
                <w:sz w:val="24"/>
                <w:szCs w:val="24"/>
                <w:color w:val="auto"/>
              </w:rPr>
            </w:pPr>
          </w:p>
        </w:tc>
        <w:tc>
          <w:tcPr>
            <w:tcW w:w="756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SUBSIDIARIES OF THE COMPANY</w:t>
            </w:r>
          </w:p>
        </w:tc>
        <w:tc>
          <w:tcPr>
            <w:tcW w:w="0" w:type="dxa"/>
            <w:vAlign w:val="bottom"/>
          </w:tcPr>
          <w:p>
            <w:pPr>
              <w:spacing w:after="0"/>
              <w:rPr>
                <w:sz w:val="1"/>
                <w:szCs w:val="1"/>
                <w:color w:val="auto"/>
              </w:rPr>
            </w:pPr>
          </w:p>
        </w:tc>
      </w:tr>
      <w:tr>
        <w:trPr>
          <w:trHeight w:val="688"/>
        </w:trPr>
        <w:tc>
          <w:tcPr>
            <w:tcW w:w="3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43"/>
        </w:trPr>
        <w:tc>
          <w:tcPr>
            <w:tcW w:w="3640" w:type="dxa"/>
            <w:vAlign w:val="bottom"/>
            <w:vMerge w:val="continue"/>
          </w:tcPr>
          <w:p>
            <w:pPr>
              <w:spacing w:after="0"/>
              <w:rPr>
                <w:sz w:val="21"/>
                <w:szCs w:val="21"/>
                <w:color w:val="auto"/>
              </w:rPr>
            </w:pPr>
          </w:p>
        </w:tc>
        <w:tc>
          <w:tcPr>
            <w:tcW w:w="5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0" w:type="dxa"/>
            <w:vAlign w:val="bottom"/>
          </w:tcPr>
          <w:p>
            <w:pPr>
              <w:spacing w:after="0"/>
              <w:rPr>
                <w:sz w:val="1"/>
                <w:szCs w:val="1"/>
                <w:color w:val="auto"/>
              </w:rPr>
            </w:pPr>
          </w:p>
        </w:tc>
      </w:tr>
      <w:tr>
        <w:trPr>
          <w:trHeight w:val="218"/>
        </w:trPr>
        <w:tc>
          <w:tcPr>
            <w:tcW w:w="3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Ballard Green Utility Company</w:t>
            </w:r>
          </w:p>
        </w:tc>
        <w:tc>
          <w:tcPr>
            <w:tcW w:w="5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Maryland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Beazer Charity Foundation, Inc.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Beazer Clarksburg, LLC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Maryland</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Beazer Employee Disaster Assistance Corp.</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Georgia</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Beazer Fundamental, LLC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Beazer Gain, LLC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Beazer General Services, Inc.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Beazer Homes Capital Trust I</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Beazer Homes Holdings, LLC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Beazer Homes Indiana Holdings Corp.</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Beazer Homes Indiana LLP</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Indiana</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Beazer Homes Investments, LLC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Beazer Homes, LLC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Beazer Homes Sales, Inc.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Beazer Homes Texas Holdings, Inc.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Beazer Homes Texas, L.P.</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Beazer Mortgage Corporation</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Beazer Realty Corp.</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Georgia</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Beazer Realty Los Angeles, Inc.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Beazer Realty Services, LLC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BH Investment Holdings, LLC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BH Materials, LLC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BH Procurement Services, Inc.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Charity Home Insurance Agency, LLC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Charity Title Agency, LLC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Texas</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Charity Title Group, LLC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Clarksburg Arora, LLC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Maryland</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Clarksburg Skylark, LLC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Maryland</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Dove Barrington Development LLC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Gatherings, LLC</w:t>
            </w: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Marshfield Land, LLC</w:t>
            </w:r>
          </w:p>
        </w:tc>
        <w:tc>
          <w:tcPr>
            <w:tcW w:w="5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00"/>
          </w:cols>
          <w:pgMar w:left="360" w:top="88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333-273878 on Form S-3ASR; Registration Statement Nos. 333-236484, and 333-222166, on Form S-4; and in Registration Statement Nos. 333-237347, 333-168794, 333-200542, 333-281505 and 333-215991 on Form S-8 of our reports dated November 13, 2025, relating to the consolidated financial statements of Beazer Homes USA, Inc. and subsidiaries (the “Company”) and the effectiveness of the Company’s internal control over financial reporting appearing in this Annual Report on Form 10-K for the year ended September 30,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13, 2025</w:t>
      </w:r>
    </w:p>
    <w:p>
      <w:pPr>
        <w:sectPr>
          <w:pgSz w:w="11900" w:h="16838" w:orient="portrait"/>
          <w:cols w:equalWidth="0" w:num="1">
            <w:col w:w="11240"/>
          </w:cols>
          <w:pgMar w:left="320" w:top="88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Allan P. Merrill, certify that:</w:t>
      </w:r>
    </w:p>
    <w:p>
      <w:pPr>
        <w:spacing w:after="0" w:line="171"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Beazer Homes USA, Inc.;</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13, 2025</w:t>
      </w:r>
    </w:p>
    <w:p>
      <w:pPr>
        <w:spacing w:after="0" w:line="3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Allan P. Merrill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29571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Allan P. Merrill</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I. Goldberg, certify that:</w:t>
      </w:r>
    </w:p>
    <w:p>
      <w:pPr>
        <w:spacing w:after="0" w:line="171"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Beazer Homes USA, Inc.;</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13, 2025</w:t>
      </w:r>
    </w:p>
    <w:p>
      <w:pPr>
        <w:spacing w:after="0" w:line="3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David I.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17145</wp:posOffset>
            </wp:positionV>
            <wp:extent cx="29571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9">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David I. Goldberg</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88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Chief Executive Officer of Beazer Homes USA, Inc. (the “Company”) hereby certifies that the Report on Form 10-K of the Company for the period ended September 30, 2025, accompanying this certification, fully complies with the requirements of Section 13(a) or 15(d) of the Securities Exchange Act of 1934 and that information contained in the periodic report fairly presents, in all material respects, the financial condition and results of operations of the Company.</w:t>
      </w:r>
    </w:p>
    <w:p>
      <w:pPr>
        <w:spacing w:after="0" w:line="288" w:lineRule="exact"/>
        <w:rPr>
          <w:sz w:val="20"/>
          <w:szCs w:val="20"/>
          <w:color w:val="auto"/>
        </w:rPr>
      </w:pPr>
    </w:p>
    <w:p>
      <w:pPr>
        <w:jc w:val="center"/>
        <w:ind w:right="80"/>
        <w:spacing w:after="0"/>
        <w:tabs>
          <w:tab w:leader="none" w:pos="160" w:val="left"/>
        </w:tabs>
        <w:rPr>
          <w:sz w:val="20"/>
          <w:szCs w:val="20"/>
          <w:color w:val="auto"/>
        </w:rPr>
      </w:pPr>
      <w:r>
        <w:rPr>
          <w:rFonts w:ascii="Times New Roman" w:cs="Times New Roman" w:eastAsia="Times New Roman" w:hAnsi="Times New Roman"/>
          <w:sz w:val="18"/>
          <w:szCs w:val="18"/>
          <w:color w:val="auto"/>
        </w:rPr>
        <w:t>Date:</w:t>
        <w:tab/>
        <w:t>November 13, 2025</w:t>
      </w:r>
    </w:p>
    <w:p>
      <w:pPr>
        <w:spacing w:after="0" w:line="29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Allan P. Merrill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43180</wp:posOffset>
            </wp:positionV>
            <wp:extent cx="29571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0">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8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Allan P. Merrill</w:t>
      </w:r>
    </w:p>
    <w:p>
      <w:pPr>
        <w:spacing w:after="0" w:line="6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Rule 13a-14(b) under the Securities Exchange Act of 1934 and Section 1350 of Title 18, United States Code, and is not being filed as part of the report or as a separate disclosure document.</w:t>
      </w:r>
    </w:p>
    <w:p>
      <w:pPr>
        <w:sectPr>
          <w:pgSz w:w="11900" w:h="16838" w:orient="portrait"/>
          <w:cols w:equalWidth="0" w:num="1">
            <w:col w:w="11240"/>
          </w:cols>
          <w:pgMar w:left="320" w:top="88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Chief Financial Officer of Beazer Homes USA, Inc. (the “Company”) hereby certifies that the Report on Form 10-K of the Company for the period ended September 30, 2025, accompanying this certification, fully complies with the requirements of Section 13(a) or 15(d) of the Securities Exchange Act of 1934 and that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50" w:lineRule="exact"/>
        <w:rPr>
          <w:sz w:val="20"/>
          <w:szCs w:val="20"/>
          <w:color w:val="auto"/>
        </w:rPr>
      </w:pPr>
    </w:p>
    <w:p>
      <w:pPr>
        <w:jc w:val="center"/>
        <w:ind w:right="80"/>
        <w:spacing w:after="0"/>
        <w:tabs>
          <w:tab w:leader="none" w:pos="160" w:val="left"/>
        </w:tabs>
        <w:rPr>
          <w:sz w:val="20"/>
          <w:szCs w:val="20"/>
          <w:color w:val="auto"/>
        </w:rPr>
      </w:pPr>
      <w:r>
        <w:rPr>
          <w:rFonts w:ascii="Times New Roman" w:cs="Times New Roman" w:eastAsia="Times New Roman" w:hAnsi="Times New Roman"/>
          <w:sz w:val="18"/>
          <w:szCs w:val="18"/>
          <w:color w:val="auto"/>
        </w:rPr>
        <w:t>Date:</w:t>
        <w:tab/>
        <w:t>November 13, 2025</w:t>
      </w:r>
    </w:p>
    <w:p>
      <w:pPr>
        <w:spacing w:after="0" w:line="29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David I.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43180</wp:posOffset>
            </wp:positionV>
            <wp:extent cx="29571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1">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8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David I. Goldberg</w:t>
      </w:r>
    </w:p>
    <w:p>
      <w:pPr>
        <w:spacing w:after="0" w:line="6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3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Rule 13a-14(b) under the Securities Exchange Act of 1934 and Section 1350 of Title 18, United States Code, and is not being filed as part of the report or as a separate disclosure document.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Webdings">
    <w:panose1 w:val="05030102010509060703"/>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1)"/>
      <w:numFmt w:val="lowerLetter"/>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lowerLetter"/>
      <w:start w:val="1"/>
    </w:lvl>
  </w:abstractNum>
  <w:abstractNum w:abstractNumId="21">
    <w:nsid w:val="51EAD36B"/>
    <w:multiLevelType w:val="hybridMultilevel"/>
    <w:lvl w:ilvl="0">
      <w:lvlJc w:val="left"/>
      <w:lvlText w:val="(%1)"/>
      <w:numFmt w:val="lowerLetter"/>
      <w:start w:val="1"/>
    </w:lvl>
  </w:abstractNum>
  <w:abstractNum w:abstractNumId="22">
    <w:nsid w:val="2D517796"/>
    <w:multiLevelType w:val="hybridMultilevel"/>
    <w:lvl w:ilvl="0">
      <w:lvlJc w:val="left"/>
      <w:lvlText w:val="(%1)"/>
      <w:numFmt w:val="lowerLetter"/>
      <w:start w:val="1"/>
    </w:lvl>
  </w:abstractNum>
  <w:abstractNum w:abstractNumId="23">
    <w:nsid w:val="580BD78F"/>
    <w:multiLevelType w:val="hybridMultilevel"/>
    <w:lvl w:ilvl="0">
      <w:lvlJc w:val="left"/>
      <w:lvlText w:val="(%1)"/>
      <w:numFmt w:val="lowerLetter"/>
      <w:start w:val="1"/>
    </w:lvl>
  </w:abstractNum>
  <w:abstractNum w:abstractNumId="24">
    <w:nsid w:val="153EA438"/>
    <w:multiLevelType w:val="hybridMultilevel"/>
    <w:lvl w:ilvl="0">
      <w:lvlJc w:val="left"/>
      <w:lvlText w:val="(%1)"/>
      <w:numFmt w:val="lowerLetter"/>
      <w:start w:val="1"/>
    </w:lvl>
  </w:abstractNum>
  <w:abstractNum w:abstractNumId="25">
    <w:nsid w:val="3855585C"/>
    <w:multiLevelType w:val="hybridMultilevel"/>
    <w:lvl w:ilvl="0">
      <w:lvlJc w:val="left"/>
      <w:lvlText w:val="(%1)"/>
      <w:numFmt w:val="lowerLetter"/>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lowerLetter"/>
      <w:start w:val="1"/>
    </w:lvl>
  </w:abstractNum>
  <w:abstractNum w:abstractNumId="28">
    <w:nsid w:val="2A487CB0"/>
    <w:multiLevelType w:val="hybridMultilevel"/>
    <w:lvl w:ilvl="0">
      <w:lvlJc w:val="left"/>
      <w:lvlText w:val="(%1)"/>
      <w:numFmt w:val="lowerLetter"/>
      <w:start w:val="1"/>
    </w:lvl>
  </w:abstractNum>
  <w:abstractNum w:abstractNumId="29">
    <w:nsid w:val="1D4ED43B"/>
    <w:multiLevelType w:val="hybridMultilevel"/>
    <w:lvl w:ilvl="0">
      <w:lvlJc w:val="left"/>
      <w:lvlText w:val="(%1)"/>
      <w:numFmt w:val="lowerLetter"/>
      <w:start w:val="1"/>
    </w:lvl>
  </w:abstractNum>
  <w:abstractNum w:abstractNumId="30">
    <w:nsid w:val="725A06FB"/>
    <w:multiLevelType w:val="hybridMultilevel"/>
    <w:lvl w:ilvl="0">
      <w:lvlJc w:val="left"/>
      <w:lvlText w:val="(%1)"/>
      <w:numFmt w:val="lowerLetter"/>
      <w:start w:val="1"/>
    </w:lvl>
  </w:abstractNum>
  <w:abstractNum w:abstractNumId="31">
    <w:nsid w:val="2CD89A32"/>
    <w:multiLevelType w:val="hybridMultilevel"/>
    <w:lvl w:ilvl="0">
      <w:lvlJc w:val="left"/>
      <w:lvlText w:val="(%1)"/>
      <w:numFmt w:val="lowerLetter"/>
      <w:start w:val="1"/>
    </w:lvl>
  </w:abstractNum>
  <w:abstractNum w:abstractNumId="32">
    <w:nsid w:val="57E4CCAF"/>
    <w:multiLevelType w:val="hybridMultilevel"/>
    <w:lvl w:ilvl="0">
      <w:lvlJc w:val="left"/>
      <w:lvlText w:val="(%1)"/>
      <w:numFmt w:val="lowerLetter"/>
      <w:start w:val="1"/>
    </w:lvl>
  </w:abstractNum>
  <w:abstractNum w:abstractNumId="33">
    <w:nsid w:val="7A6D8D3C"/>
    <w:multiLevelType w:val="hybridMultilevel"/>
    <w:lvl w:ilvl="0">
      <w:lvlJc w:val="left"/>
      <w:lvlText w:val="(%1)"/>
      <w:numFmt w:val="lowerLetter"/>
      <w:start w:val="2"/>
    </w:lvl>
  </w:abstractNum>
  <w:abstractNum w:abstractNumId="34">
    <w:nsid w:val="4B588F54"/>
    <w:multiLevelType w:val="hybridMultilevel"/>
    <w:lvl w:ilvl="0">
      <w:lvlJc w:val="left"/>
      <w:lvlText w:val="(%1)"/>
      <w:numFmt w:val="lowerLetter"/>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1)"/>
      <w:numFmt w:val="lowerLetter"/>
      <w:start w:val="1"/>
    </w:lvl>
  </w:abstractNum>
  <w:abstractNum w:abstractNumId="37">
    <w:nsid w:val="38437FDB"/>
    <w:multiLevelType w:val="hybridMultilevel"/>
    <w:lvl w:ilvl="0">
      <w:lvlJc w:val="left"/>
      <w:lvlText w:val="(%1)"/>
      <w:numFmt w:val="lowerLetter"/>
      <w:start w:val="1"/>
    </w:lvl>
  </w:abstractNum>
  <w:abstractNum w:abstractNumId="38">
    <w:nsid w:val="7644A45C"/>
    <w:multiLevelType w:val="hybridMultilevel"/>
    <w:lvl w:ilvl="0">
      <w:lvlJc w:val="left"/>
      <w:lvlText w:val="(%1)"/>
      <w:numFmt w:val="lowerLetter"/>
      <w:start w:val="1"/>
    </w:lvl>
  </w:abstractNum>
  <w:abstractNum w:abstractNumId="39">
    <w:nsid w:val="32FFF902"/>
    <w:multiLevelType w:val="hybridMultilevel"/>
    <w:lvl w:ilvl="0">
      <w:lvlJc w:val="left"/>
      <w:lvlText w:val="(%1)"/>
      <w:numFmt w:val="lowerLetter"/>
      <w:start w:val="1"/>
    </w:lvl>
  </w:abstractNum>
  <w:abstractNum w:abstractNumId="40">
    <w:nsid w:val="684A481A"/>
    <w:multiLevelType w:val="hybridMultilevel"/>
    <w:lvl w:ilvl="0">
      <w:lvlJc w:val="left"/>
      <w:lvlText w:val="(%1)"/>
      <w:numFmt w:val="lowerLetter"/>
      <w:start w:val="1"/>
    </w:lvl>
  </w:abstractNum>
  <w:abstractNum w:abstractNumId="41">
    <w:nsid w:val="579478FE"/>
    <w:multiLevelType w:val="hybridMultilevel"/>
    <w:lvl w:ilvl="0">
      <w:lvlJc w:val="left"/>
      <w:lvlText w:val="(%1)"/>
      <w:numFmt w:val="lowerLetter"/>
      <w:start w:val="1"/>
    </w:lvl>
  </w:abstractNum>
  <w:abstractNum w:abstractNumId="42">
    <w:nsid w:val="749ABB43"/>
    <w:multiLevelType w:val="hybridMultilevel"/>
    <w:lvl w:ilvl="0">
      <w:lvlJc w:val="left"/>
      <w:lvlText w:val="(%1)"/>
      <w:numFmt w:val="lowerLetter"/>
      <w:start w:val="1"/>
    </w:lvl>
  </w:abstractNum>
  <w:abstractNum w:abstractNumId="43">
    <w:nsid w:val="3DC240FB"/>
    <w:multiLevelType w:val="hybridMultilevel"/>
    <w:lvl w:ilvl="0">
      <w:lvlJc w:val="left"/>
      <w:lvlText w:val="•"/>
      <w:numFmt w:val="bullet"/>
      <w:start w:val="1"/>
    </w:lvl>
    <w:lvl w:ilvl="1">
      <w:lvlJc w:val="left"/>
      <w:lvlText w:val="◦"/>
      <w:numFmt w:val="bullet"/>
      <w:start w:val="1"/>
    </w:lvl>
  </w:abstractNum>
  <w:abstractNum w:abstractNumId="44">
    <w:nsid w:val="1BA026FA"/>
    <w:multiLevelType w:val="hybridMultilevel"/>
    <w:lvl w:ilvl="0">
      <w:lvlJc w:val="left"/>
      <w:lvlText w:val="%1"/>
      <w:numFmt w:val="decimal"/>
      <w:start w:val="19"/>
    </w:lvl>
  </w:abstractNum>
  <w:abstractNum w:abstractNumId="45">
    <w:nsid w:val="79A1DEAA"/>
    <w:multiLevelType w:val="hybridMultilevel"/>
    <w:lvl w:ilvl="0">
      <w:lvlJc w:val="left"/>
      <w:lvlText w:val="%1"/>
      <w:numFmt w:val="decimal"/>
      <w:start w:val="21"/>
    </w:lvl>
  </w:abstractNum>
  <w:abstractNum w:abstractNumId="46">
    <w:nsid w:val="75C6C33A"/>
    <w:multiLevelType w:val="hybridMultilevel"/>
    <w:lvl w:ilvl="0">
      <w:lvlJc w:val="left"/>
      <w:lvlText w:val="%1"/>
      <w:numFmt w:val="decimal"/>
      <w:start w:val="97"/>
    </w:lvl>
  </w:abstractNum>
  <w:abstractNum w:abstractNumId="47">
    <w:nsid w:val="12E685FB"/>
    <w:multiLevelType w:val="hybridMultilevel"/>
    <w:lvl w:ilvl="0">
      <w:lvlJc w:val="left"/>
      <w:lvlText w:val="%1"/>
      <w:numFmt w:val="decimal"/>
      <w:start w:val="101"/>
    </w:lvl>
  </w:abstractNum>
  <w:abstractNum w:abstractNumId="48">
    <w:nsid w:val="70C6A529"/>
    <w:multiLevelType w:val="hybridMultilevel"/>
    <w:lvl w:ilvl="0">
      <w:lvlJc w:val="left"/>
      <w:lvlText w:val="*"/>
      <w:numFmt w:val="bullet"/>
      <w:start w:val="1"/>
    </w:lvl>
    <w:lvl w:ilvl="1">
      <w:lvlJc w:val="left"/>
      <w:lvlText w:val="%2"/>
      <w:numFmt w:val="decimal"/>
      <w:start w:val="104"/>
    </w:lvl>
  </w:abstractNum>
  <w:abstractNum w:abstractNumId="49">
    <w:nsid w:val="520EEDD1"/>
    <w:multiLevelType w:val="hybridMultilevel"/>
    <w:lvl w:ilvl="0">
      <w:lvlJc w:val="left"/>
      <w:lvlText w:val="#"/>
      <w:numFmt w:val="bullet"/>
      <w:start w:val="1"/>
    </w:lvl>
    <w:lvl w:ilvl="1">
      <w:lvlJc w:val="left"/>
      <w:lvlText w:val="(%2)"/>
      <w:numFmt w:val="lowerLetter"/>
      <w:start w:val="2"/>
    </w:lvl>
  </w:abstractNum>
  <w:abstractNum w:abstractNumId="50">
    <w:nsid w:val="374A3FE6"/>
    <w:multiLevelType w:val="hybridMultilevel"/>
    <w:lvl w:ilvl="0">
      <w:lvlJc w:val="left"/>
      <w:lvlText w:val="%1"/>
      <w:numFmt w:val="decimal"/>
      <w:start w:val="21"/>
    </w:lvl>
  </w:abstractNum>
  <w:abstractNum w:abstractNumId="51">
    <w:nsid w:val="4F4EF005"/>
    <w:multiLevelType w:val="hybridMultilevel"/>
    <w:lvl w:ilvl="0">
      <w:lvlJc w:val="left"/>
      <w:lvlText w:val="%1"/>
      <w:numFmt w:val="decimal"/>
      <w:start w:val="23"/>
    </w:lvl>
  </w:abstractNum>
  <w:abstractNum w:abstractNumId="52">
    <w:nsid w:val="23F9C13C"/>
    <w:multiLevelType w:val="hybridMultilevel"/>
    <w:lvl w:ilvl="0">
      <w:lvlJc w:val="left"/>
      <w:lvlText w:val="%1"/>
      <w:numFmt w:val="decimal"/>
      <w:start w:val="101"/>
    </w:lvl>
  </w:abstractNum>
  <w:abstractNum w:abstractNumId="53">
    <w:nsid w:val="649BB77C"/>
    <w:multiLevelType w:val="hybridMultilevel"/>
    <w:lvl w:ilvl="0">
      <w:lvlJc w:val="left"/>
      <w:lvlText w:val="#"/>
      <w:numFmt w:val="bullet"/>
      <w:start w:val="1"/>
    </w:lvl>
    <w:lvl w:ilvl="1">
      <w:lvlJc w:val="left"/>
      <w:lvlText w:val="%2"/>
      <w:numFmt w:val="lowerLetter"/>
      <w:start w:val="1"/>
    </w:lvl>
    <w:lvl w:ilvl="2">
      <w:lvlJc w:val="left"/>
      <w:lvlText w:val="%3"/>
      <w:numFmt w:val="decimal"/>
      <w:start w:val="104"/>
    </w:lvl>
  </w:abstractNum>
  <w:abstractNum w:abstractNumId="54">
    <w:nsid w:val="275AC794"/>
    <w:multiLevelType w:val="hybridMultilevel"/>
    <w:lvl w:ilvl="0">
      <w:lvlJc w:val="left"/>
      <w:lvlText w:val="#"/>
      <w:numFmt w:val="bullet"/>
      <w:start w:val="1"/>
    </w:lvl>
    <w:lvl w:ilvl="1">
      <w:lvlJc w:val="left"/>
      <w:lvlText w:val="(%2)"/>
      <w:numFmt w:val="lowerLetter"/>
      <w:start w:val="3"/>
    </w:lvl>
    <w:lvl w:ilvl="2">
      <w:lvlJc w:val="left"/>
      <w:lvlText w:val="%3"/>
      <w:numFmt w:val="decimal"/>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11"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45" Type="http://schemas.openxmlformats.org/officeDocument/2006/relationships/image" Target="media/image95.png"/><Relationship Id="rId146" Type="http://schemas.openxmlformats.org/officeDocument/2006/relationships/image" Target="media/image96.png"/><Relationship Id="rId147" Type="http://schemas.openxmlformats.org/officeDocument/2006/relationships/image" Target="media/image97.png"/><Relationship Id="rId148" Type="http://schemas.openxmlformats.org/officeDocument/2006/relationships/image" Target="media/image98.png"/><Relationship Id="rId149" Type="http://schemas.openxmlformats.org/officeDocument/2006/relationships/image" Target="media/image99.png"/><Relationship Id="rId150" Type="http://schemas.openxmlformats.org/officeDocument/2006/relationships/image" Target="media/image100.png"/><Relationship Id="rId151" Type="http://schemas.openxmlformats.org/officeDocument/2006/relationships/image" Target="media/image101.png"/><Relationship Id="rId99" Type="http://schemas.openxmlformats.org/officeDocument/2006/relationships/hyperlink" Target="https://www.sec.gov/Archives/edgar/data/915840/000095014408009069/g16814exv3w1.htm" TargetMode="External"/><Relationship Id="rId100" Type="http://schemas.openxmlformats.org/officeDocument/2006/relationships/hyperlink" Target="https://www.sec.gov/Archives/edgar/data/915840/000095012310042735/g23124exv3w1.htm" TargetMode="External"/><Relationship Id="rId101" Type="http://schemas.openxmlformats.org/officeDocument/2006/relationships/hyperlink" Target="https://www.sec.gov/Archives/edgar/data/915840/000119312511026540/dex31.htm" TargetMode="External"/><Relationship Id="rId102" Type="http://schemas.openxmlformats.org/officeDocument/2006/relationships/hyperlink" Target="https://www.sec.gov/Archives/edgar/data/915840/000091584012000033/exhibit31.htm" TargetMode="External"/><Relationship Id="rId103" Type="http://schemas.openxmlformats.org/officeDocument/2006/relationships/hyperlink" Target="https://www.sec.gov/Archives/edgar/data/915840/000091584013000012/exhibit31certificateofamen.htm" TargetMode="External"/><Relationship Id="rId104" Type="http://schemas.openxmlformats.org/officeDocument/2006/relationships/hyperlink" Target="https://www.sec.gov/Archives/edgar/data/915840/000091584013000043/exhibit31certificateofamen.htm" TargetMode="External"/><Relationship Id="rId105" Type="http://schemas.openxmlformats.org/officeDocument/2006/relationships/hyperlink" Target="https://www.sec.gov/Archives/edgar/data/915840/000091584016000135/bzh-9302016x10kex38.htm" TargetMode="External"/><Relationship Id="rId106" Type="http://schemas.openxmlformats.org/officeDocument/2006/relationships/hyperlink" Target="https://www.sec.gov/Archives/edgar/data/915840/000091584019000058/bzh-9301910kex38.htm" TargetMode="External"/><Relationship Id="rId107" Type="http://schemas.openxmlformats.org/officeDocument/2006/relationships/hyperlink" Target="https://www.sec.gov/Archives/edgar/data/915840/000119312522284699/d417994dex31.htm" TargetMode="External"/><Relationship Id="rId108" Type="http://schemas.openxmlformats.org/officeDocument/2006/relationships/hyperlink" Target="https://www.sec.gov/Archives/edgar/data/915840/000095012310101754/g25089exv3w3.htm" TargetMode="External"/><Relationship Id="rId109" Type="http://schemas.openxmlformats.org/officeDocument/2006/relationships/hyperlink" Target="https://www.sec.gov/Archives/edgar/data/915840/000091584015000030/bzh-9302015x10kex41.htm" TargetMode="External"/><Relationship Id="rId110" Type="http://schemas.openxmlformats.org/officeDocument/2006/relationships/hyperlink" Target="https://www.sec.gov/Archives/edgar/data/915840/000119312522284699/d417994dex41.htm" TargetMode="External"/><Relationship Id="rId112" Type="http://schemas.openxmlformats.org/officeDocument/2006/relationships/hyperlink" Target="https://www.sec.gov/Archives/edgar/data/915840/000119312523209072/d452962ds3asr.htm" TargetMode="External"/><Relationship Id="rId113" Type="http://schemas.openxmlformats.org/officeDocument/2006/relationships/hyperlink" Target="https://www.sec.gov/Archives/edgar/data/915840/000119312523209072/d452962dex43a.htm" TargetMode="External"/><Relationship Id="rId114" Type="http://schemas.openxmlformats.org/officeDocument/2006/relationships/hyperlink" Target="https://www.sec.gov/Archives/edgar/data/915840/000110465906042960/a06-14111_1ex4d1.htm" TargetMode="External"/><Relationship Id="rId115" Type="http://schemas.openxmlformats.org/officeDocument/2006/relationships/hyperlink" Target="https://www.sec.gov/Archives/edgar/data/915840/000110465906042960/a06-14111_1ex4d2.htm" TargetMode="External"/><Relationship Id="rId116" Type="http://schemas.openxmlformats.org/officeDocument/2006/relationships/hyperlink" Target="https://www.sec.gov/Archives/edgar/data/915840/000095012310004120/g21842exv10w2.htm" TargetMode="External"/><Relationship Id="rId117" Type="http://schemas.openxmlformats.org/officeDocument/2006/relationships/hyperlink" Target="https://www.sec.gov/Archives/edgar/data/915840/000119312517307188/d457227dex41.htm" TargetMode="External"/><Relationship Id="rId118" Type="http://schemas.openxmlformats.org/officeDocument/2006/relationships/hyperlink" Target="https://www.sec.gov/Archives/edgar/data/915840/000119312517307188/d457227dex43.htm" TargetMode="External"/><Relationship Id="rId119" Type="http://schemas.openxmlformats.org/officeDocument/2006/relationships/hyperlink" Target="https://www.sec.gov/Archives/edgar/data/915840/000119312524069669/d800175dex41.htm" TargetMode="External"/><Relationship Id="rId120" Type="http://schemas.openxmlformats.org/officeDocument/2006/relationships/hyperlink" Target="https://www.sec.gov/Archives/edgar/data/915840/000119312519253654/d781269dex41.htm" TargetMode="External"/><Relationship Id="rId121" Type="http://schemas.openxmlformats.org/officeDocument/2006/relationships/hyperlink" Target="https://www.sec.gov/Archives/edgar/data/915840/000119312519253654/d781269dex43.htm" TargetMode="External"/><Relationship Id="rId122" Type="http://schemas.openxmlformats.org/officeDocument/2006/relationships/hyperlink" Target="https://www.sec.gov/Archives/edgar/data/915840/000091584021000055/bzh-9302110kex437.htm" TargetMode="External"/><Relationship Id="rId123" Type="http://schemas.openxmlformats.org/officeDocument/2006/relationships/hyperlink" Target="https://www.sec.gov/Archives/edgar/data/915840/000095014408005232/g14117exv10w1.htm" TargetMode="External"/><Relationship Id="rId124" Type="http://schemas.openxmlformats.org/officeDocument/2006/relationships/hyperlink" Target="https://www.sec.gov/ix?doc=/Archives/edgar/data/0000915840/000091584024000069/bzh-20240930.htm" TargetMode="External"/><Relationship Id="rId125" Type="http://schemas.openxmlformats.org/officeDocument/2006/relationships/hyperlink" Target="https://www.sec.gov/Archives/edgar/data/915840/000091584014000043/bzh-9302014x10kex1021.htm" TargetMode="External"/><Relationship Id="rId126" Type="http://schemas.openxmlformats.org/officeDocument/2006/relationships/hyperlink" Target="https://www.sec.gov/Archives/edgar/data/915840/000091584014000043/bzh-9302014x10kex1022.htm" TargetMode="External"/><Relationship Id="rId127" Type="http://schemas.openxmlformats.org/officeDocument/2006/relationships/hyperlink" Target="https://www.sec.gov/Archives/edgar/data/915840/000091584014000043/bzh-9302014x10kex1023.htm" TargetMode="External"/><Relationship Id="rId128" Type="http://schemas.openxmlformats.org/officeDocument/2006/relationships/hyperlink" Target="https://www.sec.gov/Archives/edgar/data/915840/000091584014000043/bzh-9302014x10kex1024.htm" TargetMode="External"/><Relationship Id="rId129" Type="http://schemas.openxmlformats.org/officeDocument/2006/relationships/hyperlink" Target="https://www.sec.gov/Archives/edgar/data/915840/000091584018000016/bzh-123117ex102.htm" TargetMode="External"/><Relationship Id="rId132" Type="http://schemas.openxmlformats.org/officeDocument/2006/relationships/hyperlink" Target="https://www.sec.gov/Archives/edgar/data/915840/000119312518281195/d588485dex101.htm" TargetMode="External"/><Relationship Id="rId133" Type="http://schemas.openxmlformats.org/officeDocument/2006/relationships/hyperlink" Target="https://www.sec.gov/Archives/edgar/data/915840/000091584024000069/bzh-9302410kex1017.htm" TargetMode="External"/><Relationship Id="rId134" Type="http://schemas.openxmlformats.org/officeDocument/2006/relationships/hyperlink" Target="https://www.sec.gov/Archives/edgar/data/915840/000091584020000103/exhibit101-goldbergsev.htm" TargetMode="External"/><Relationship Id="rId135" Type="http://schemas.openxmlformats.org/officeDocument/2006/relationships/hyperlink" Target="https://www.sec.gov/Archives/edgar/data/915840/000091584024000069/bzh-9302410kex1021.htm" TargetMode="External"/><Relationship Id="rId136" Type="http://schemas.openxmlformats.org/officeDocument/2006/relationships/hyperlink" Target="https://www.sec.gov/Archives/edgar/data/915840/000119312516504877/d150269dex101.htm" TargetMode="External"/><Relationship Id="rId137" Type="http://schemas.openxmlformats.org/officeDocument/2006/relationships/hyperlink" Target="https://www.sec.gov/Archives/edgar/data/915840/000119312522262270/d412606dex101.htm" TargetMode="External"/><Relationship Id="rId138" Type="http://schemas.openxmlformats.org/officeDocument/2006/relationships/hyperlink" Target="https://www.sec.gov/Archives/edgar/data/915840/000091584024000014/bzh-123123ex101.htm" TargetMode="External"/><Relationship Id="rId139" Type="http://schemas.openxmlformats.org/officeDocument/2006/relationships/hyperlink" Target="https://www.sec.gov/Archives/edgar/data/915840/000091584024000014/bzh-123123ex102.htm" TargetMode="External"/><Relationship Id="rId140" Type="http://schemas.openxmlformats.org/officeDocument/2006/relationships/hyperlink" Target="https://www.sec.gov/Archives/edgar/data/915840/000091584025000006/bzh-123124ex102.htm" TargetMode="External"/><Relationship Id="rId141" Type="http://schemas.openxmlformats.org/officeDocument/2006/relationships/hyperlink" Target="https://www.sec.gov/Archives/edgar/data/915840/000091584025000006/bzh-123124ex101.htm" TargetMode="External"/><Relationship Id="rId142" Type="http://schemas.openxmlformats.org/officeDocument/2006/relationships/hyperlink" Target="https://www.sec.gov/Archives/edgar/data/915840/000091584024000069/bzh-9302410kex19.htm" TargetMode="External"/><Relationship Id="rId143" Type="http://schemas.openxmlformats.org/officeDocument/2006/relationships/hyperlink" Target="https://www.sec.gov/Archives/edgar/data/915840/000091584024000028/bzh-33124ex221.htm" TargetMode="External"/><Relationship Id="rId144" Type="http://schemas.openxmlformats.org/officeDocument/2006/relationships/hyperlink" Target="https://www.sec.gov/Archives/edgar/data/915840/000091584023000053/bzh-9302310k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2025-11-13T16:23:31Z</dcterms:created>
  <dcterms:modified xsi:type="dcterms:W3CDTF">2025-11-13T16:23:31Z</dcterms:modified>
</cp:coreProperties>
</file>