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reported event): August 7, 2026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BEAZER HOMES USA,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001-12822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58-2086934</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2002 Summit Boulevard, 15th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Atlanta, Georgia 30319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(770) 829-3700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BZH</w:t>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20" w:after="130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64" w:type="dxa"/>
        <w:jc w:val="left"/>
        <w:tblInd w:w="0" w:type="dxa"/>
        <w:tblLayout w:type="fixed"/>
        <w:tblCellMar>
          <w:top w:w="28" w:type="dxa"/>
          <w:left w:w="28" w:type="dxa"/>
          <w:bottom w:w="28" w:type="dxa"/>
          <w:right w:w="28" w:type="dxa"/>
        </w:tblCellMar>
      </w:tblPr>
      <w:tblGrid>
        <w:gridCol w:w="331"/>
        <w:gridCol w:w="290"/>
        <w:gridCol w:w="293"/>
        <w:gridCol w:w="1186"/>
        <w:gridCol w:w="1186"/>
        <w:gridCol w:w="16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August 7, 2026, Beazer Homes USA, Inc. issued a press release announcing results of operations for the three and nine months ended June 30, 2026. A copy of the press release is attached hereto as Exhibit 99.1.</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provided pursuant to this Item 2.02, including Exhibit 99.1 in Item 9.01, is "furnished" and shall not be deemed to be "filed" with the Securities and Exchange Commission or incorporated by reference in any filing under the Securities and Exchange Act of 1934, as amended, or the Securities Act of 1933, as amended, except as shall be expressly set forth by specific reference in any such filings.</w:t>
      </w:r>
    </w:p>
    <w:tbl>
      <w:tblPr>
        <w:tblW w:w="3946" w:type="dxa"/>
        <w:jc w:val="left"/>
        <w:tblInd w:w="0" w:type="dxa"/>
        <w:tblLayout w:type="fixed"/>
        <w:tblCellMar>
          <w:top w:w="28" w:type="dxa"/>
          <w:left w:w="28" w:type="dxa"/>
          <w:bottom w:w="28" w:type="dxa"/>
          <w:right w:w="28" w:type="dxa"/>
        </w:tblCellMar>
      </w:tblPr>
      <w:tblGrid>
        <w:gridCol w:w="332"/>
        <w:gridCol w:w="291"/>
        <w:gridCol w:w="293"/>
        <w:gridCol w:w="887"/>
        <w:gridCol w:w="887"/>
        <w:gridCol w:w="125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080" w:type="dxa"/>
        <w:jc w:val="left"/>
        <w:tblInd w:w="0" w:type="dxa"/>
        <w:tblLayout w:type="fixed"/>
        <w:tblCellMar>
          <w:top w:w="28" w:type="dxa"/>
          <w:left w:w="28" w:type="dxa"/>
          <w:bottom w:w="28" w:type="dxa"/>
          <w:right w:w="28" w:type="dxa"/>
        </w:tblCellMar>
      </w:tblPr>
      <w:tblGrid>
        <w:gridCol w:w="174"/>
        <w:gridCol w:w="153"/>
        <w:gridCol w:w="154"/>
        <w:gridCol w:w="1926"/>
        <w:gridCol w:w="1926"/>
        <w:gridCol w:w="274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63026.htm">
              <w:r>
                <w:rPr>
                  <w:rStyle w:val="InternetLink"/>
                  <w:rFonts w:ascii="Times New Roman;serif" w:hAnsi="Times New Roman;serif"/>
                  <w:b w:val="false"/>
                  <w:color w:val="0000FF"/>
                  <w:sz w:val="20"/>
                  <w:u w:val="single"/>
                </w:rPr>
                <w:t>Press Release dated August 7,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90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109"/>
        <w:gridCol w:w="109"/>
        <w:gridCol w:w="109"/>
        <w:gridCol w:w="109"/>
        <w:gridCol w:w="109"/>
        <w:gridCol w:w="109"/>
        <w:gridCol w:w="259"/>
        <w:gridCol w:w="259"/>
        <w:gridCol w:w="259"/>
        <w:gridCol w:w="259"/>
        <w:gridCol w:w="259"/>
        <w:gridCol w:w="259"/>
        <w:gridCol w:w="1212"/>
        <w:gridCol w:w="1212"/>
        <w:gridCol w:w="171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BEAZER HOMES USA,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I. Goldberg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I. Goldberg</w:t>
              <w:b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PRESS RELEASE</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40"/>
        </w:rPr>
      </w:pPr>
      <w:r>
        <w:rPr>
          <w:rFonts w:ascii="Times New Roman;serif" w:hAnsi="Times New Roman;serif"/>
          <w:b/>
          <w:color w:val="000000"/>
          <w:sz w:val="40"/>
        </w:rPr>
        <w:t>Beazer Homes Reports Third Quarter Fiscal 2026 Results</w:t>
      </w:r>
    </w:p>
    <w:p>
      <w:pPr>
        <w:pStyle w:val="TextBody"/>
        <w:bidi w:val="0"/>
        <w:spacing w:lineRule="auto" w:line="288" w:before="180" w:after="283"/>
        <w:jc w:val="left"/>
        <w:rPr>
          <w:rFonts w:ascii="Times New Roman;serif" w:hAnsi="Times New Roman;serif"/>
          <w:b/>
          <w:color w:val="000000"/>
          <w:sz w:val="28"/>
          <w:shd w:fill="FFFFFF" w:val="clear"/>
        </w:rPr>
      </w:pPr>
      <w:r>
        <w:rPr>
          <w:rFonts w:ascii="Times New Roman;serif" w:hAnsi="Times New Roman;serif"/>
          <w:b/>
          <w:color w:val="000000"/>
          <w:sz w:val="28"/>
          <w:shd w:fill="FFFFFF" w:val="clear"/>
        </w:rPr>
        <w:t>Cancelling previously scheduled earnings conference call and webcast due to pending transaction with Dream Finders Homes, Inc. announced separately today</w:t>
      </w:r>
    </w:p>
    <w:p>
      <w:pPr>
        <w:pStyle w:val="TextBody"/>
        <w:bidi w:val="0"/>
        <w:spacing w:lineRule="auto" w:line="288" w:before="180" w:after="283"/>
        <w:jc w:val="both"/>
        <w:rPr/>
      </w:pPr>
      <w:r>
        <w:rPr>
          <w:rFonts w:ascii="Times New Roman;serif" w:hAnsi="Times New Roman;serif"/>
          <w:b/>
          <w:color w:val="000000"/>
          <w:sz w:val="22"/>
          <w:shd w:fill="FFFFFF" w:val="clear"/>
        </w:rPr>
        <w:t xml:space="preserve">ATLANTA, August 7, 2026 </w:t>
      </w:r>
      <w:r>
        <w:rPr>
          <w:rFonts w:ascii="Times New Roman;serif" w:hAnsi="Times New Roman;serif"/>
          <w:b w:val="false"/>
          <w:color w:val="000000"/>
          <w:sz w:val="22"/>
          <w:shd w:fill="FFFFFF" w:val="clear"/>
        </w:rPr>
        <w:t>- Beazer Homes USA, Inc. (NYSE: BZH) (</w:t>
      </w:r>
      <w:r>
        <w:rPr>
          <w:rFonts w:ascii="Times New Roman;serif" w:hAnsi="Times New Roman;serif"/>
          <w:b w:val="false"/>
          <w:color w:val="006EBF"/>
          <w:sz w:val="22"/>
          <w:shd w:fill="FFFFFF" w:val="clear"/>
        </w:rPr>
        <w:t>www.beazer.com</w:t>
      </w:r>
      <w:r>
        <w:rPr>
          <w:rFonts w:ascii="Times New Roman;serif" w:hAnsi="Times New Roman;serif"/>
          <w:b w:val="false"/>
          <w:color w:val="000000"/>
          <w:sz w:val="22"/>
          <w:shd w:fill="FFFFFF" w:val="clear"/>
        </w:rPr>
        <w:t>) today announced its financial results for the three and nine months ended June 30, 2026.</w:t>
      </w:r>
    </w:p>
    <w:p>
      <w:pPr>
        <w:pStyle w:val="TextBody"/>
        <w:bidi w:val="0"/>
        <w:spacing w:lineRule="auto" w:line="288" w:before="180" w:after="283"/>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 a separate press release issued today, Beazer (the "Company") announced that it has entered into a definitive agreement (the "Merger Agreement") to be acquired by Dream Finders Homes, Inc. for $33.50 per share in an all-cash transaction (the "Merger") that values the Company at approximately $2.2 billion. Consummation of the Merger is subject to stockholder approval, regulatory approval and completion of other customary closing conditions. Given the pending transaction with Dream Finders Homes, Beazer is withdrawing its previously issued financial outlook and will not host its earnings conference call and webcast that was scheduled for Monday, August 10, 2026.</w:t>
      </w:r>
    </w:p>
    <w:p>
      <w:pPr>
        <w:pStyle w:val="TextBody"/>
        <w:bidi w:val="0"/>
        <w:spacing w:lineRule="auto" w:line="288" w:before="18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Beazer Homes Fiscal Third Quarter 2026 Highlights and Comparison to Fiscal Third Quarter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Net loss was </w:t>
      </w:r>
      <w:r>
        <w:rPr>
          <w:rFonts w:ascii="Times New Roman;serif" w:hAnsi="Times New Roman;serif"/>
          <w:b w:val="false"/>
          <w:color w:val="000000"/>
          <w:sz w:val="22"/>
          <w:shd w:fill="FFFFFF" w:val="clear"/>
        </w:rPr>
        <w:t>$4.2 million</w:t>
      </w:r>
      <w:r>
        <w:rPr>
          <w:rFonts w:ascii="Times New Roman;serif" w:hAnsi="Times New Roman;serif"/>
          <w:b w:val="false"/>
          <w:color w:val="000000"/>
          <w:sz w:val="22"/>
        </w:rPr>
        <w:t xml:space="preserve">, or net loss of $0.16 per diluted share. During the fiscal third quarter 2025, net loss was </w:t>
      </w:r>
      <w:r>
        <w:rPr>
          <w:rFonts w:ascii="Times New Roman;serif" w:hAnsi="Times New Roman;serif"/>
          <w:b w:val="false"/>
          <w:color w:val="000000"/>
          <w:sz w:val="22"/>
          <w:shd w:fill="FFFFFF" w:val="clear"/>
        </w:rPr>
        <w:t>$0.3 million</w:t>
      </w:r>
      <w:r>
        <w:rPr>
          <w:rFonts w:ascii="Times New Roman;serif" w:hAnsi="Times New Roman;serif"/>
          <w:b w:val="false"/>
          <w:color w:val="000000"/>
          <w:sz w:val="22"/>
        </w:rPr>
        <w:t>, or net loss of $0.01 per diluted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Adjusted EBITDA was $15.6 million, compared to Adjusted EBITDA of </w:t>
      </w:r>
      <w:r>
        <w:rPr>
          <w:rFonts w:ascii="Times New Roman;serif" w:hAnsi="Times New Roman;serif"/>
          <w:b w:val="false"/>
          <w:color w:val="000000"/>
          <w:sz w:val="22"/>
          <w:shd w:fill="FFFFFF" w:val="clear"/>
        </w:rPr>
        <w:t xml:space="preserve">$32.1 million a </w:t>
      </w:r>
      <w:r>
        <w:rPr>
          <w:rFonts w:ascii="Times New Roman;serif" w:hAnsi="Times New Roman;serif"/>
          <w:b w:val="false"/>
          <w:color w:val="000000"/>
          <w:sz w:val="22"/>
        </w:rPr>
        <w:t>year ago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Homebuilding revenue was $490.9 million, down 8.3% on a 13.4% decrease in home closings to 896, partially offset by a 5.9% increase in average selling price (ASP) to $547.8 thousand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Homebuilding gross margin was 13.6%, up 10 basis points compared to a year ago. Excluding impairments, abandonments and amortized interest, homebuilding gross margin was 16.9%, down 150 basis points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SG&amp;A as a percentage of total revenue was 14.1%, up 90 basis points; SG&amp;A expense was $72.5 million, down 1.1%</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Net new orders were 900, up 4.5% on a 3.7% increase in orders per community per month to 1.8 and a 0.8% increase in average active community count to 169</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Active community count at period-end of 170, up 1.8%</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Backlog dollar value was $758.5 million, up 2.2% on a 6.0% increase in ASP of homes in backlog to $582.1 thousand, partially offset by a 3.6% decrease in backlog units to 1,303</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Land acquisition and land development spending was $199.6 million, up 29.7% from $153.8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Repurchased 1.0 million of the Company's outstanding common stock for an aggregate $21.0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Active lots controlled of 23,083, down 14.3% from 26,944; controlled 60.0% of total active lots through option agreements compared to 60.1% a year ago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Unrestricted cash at quarter end was $124.6 million; total li</w:t>
      </w:r>
      <w:r>
        <w:rPr>
          <w:rFonts w:ascii="Times New Roman;serif" w:hAnsi="Times New Roman;serif"/>
          <w:b w:val="false"/>
          <w:color w:val="000000"/>
          <w:sz w:val="22"/>
          <w:shd w:fill="FFFFFF" w:val="clear"/>
        </w:rPr>
        <w:t>quidity was $263.8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Total debt to total capitalization ratio of 55.1% at quarter end compared to 48.4% a year ago. Net debt to net capitalization ratio was 52.8% at quarter end compared to 46.6% a year ago</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following provides additional details on the Company's performance during the fiscal third quarter 2026:</w:t>
      </w:r>
    </w:p>
    <w:p>
      <w:pPr>
        <w:pStyle w:val="TextBody"/>
        <w:bidi w:val="0"/>
        <w:spacing w:lineRule="auto" w:line="288" w:before="180" w:after="283"/>
        <w:jc w:val="both"/>
        <w:rPr/>
      </w:pPr>
      <w:r>
        <w:rPr>
          <w:rFonts w:ascii="Times New Roman;serif" w:hAnsi="Times New Roman;serif"/>
          <w:b w:val="false"/>
          <w:i/>
          <w:color w:val="000000"/>
          <w:sz w:val="22"/>
          <w:shd w:fill="FFFFFF" w:val="clear"/>
        </w:rPr>
        <w:t>Profitability</w:t>
      </w:r>
      <w:r>
        <w:rPr>
          <w:rFonts w:ascii="Times New Roman;serif" w:hAnsi="Times New Roman;serif"/>
          <w:b w:val="false"/>
          <w:color w:val="000000"/>
          <w:sz w:val="22"/>
          <w:shd w:fill="FFFFFF" w:val="clear"/>
        </w:rPr>
        <w:t xml:space="preserve">. Net loss was $4.2 million, generating diluted loss per share of </w:t>
      </w:r>
      <w:r>
        <w:rPr>
          <w:rFonts w:ascii="Times New Roman;serif" w:hAnsi="Times New Roman;serif"/>
          <w:b w:val="false"/>
          <w:color w:val="000000"/>
          <w:sz w:val="22"/>
        </w:rPr>
        <w:t>$0.16</w:t>
      </w:r>
      <w:r>
        <w:rPr>
          <w:rFonts w:ascii="Times New Roman;serif" w:hAnsi="Times New Roman;serif"/>
          <w:b w:val="false"/>
          <w:color w:val="000000"/>
          <w:sz w:val="22"/>
          <w:shd w:fill="FFFFFF" w:val="clear"/>
        </w:rPr>
        <w:t xml:space="preserve">. This included inventory impairment and abandonment charges and loss on debt extinguishment of $3.0 million or $0.07 per share. Third quarter Adjusted EBITDA was $15.6 million </w:t>
      </w:r>
      <w:r>
        <w:rPr>
          <w:rFonts w:ascii="Times New Roman;serif" w:hAnsi="Times New Roman;serif"/>
          <w:b w:val="false"/>
          <w:color w:val="000000"/>
          <w:sz w:val="22"/>
        </w:rPr>
        <w:t xml:space="preserve">compared to Adjusted EBITDA of </w:t>
      </w:r>
      <w:r>
        <w:rPr>
          <w:rFonts w:ascii="Times New Roman;serif" w:hAnsi="Times New Roman;serif"/>
          <w:b w:val="false"/>
          <w:color w:val="000000"/>
          <w:sz w:val="22"/>
          <w:shd w:fill="FFFFFF" w:val="clear"/>
        </w:rPr>
        <w:t xml:space="preserve">$32.1 million a </w:t>
      </w:r>
      <w:r>
        <w:rPr>
          <w:rFonts w:ascii="Times New Roman;serif" w:hAnsi="Times New Roman;serif"/>
          <w:b w:val="false"/>
          <w:color w:val="000000"/>
          <w:sz w:val="22"/>
        </w:rPr>
        <w:t>year ago. The decrease in Adjusted EBITDA was</w:t>
      </w:r>
      <w:r>
        <w:rPr>
          <w:color w:val="000000"/>
          <w:shd w:fill="FFFFFF" w:val="clear"/>
        </w:rPr>
        <w:t xml:space="preserve"> </w:t>
      </w:r>
      <w:r>
        <w:rPr>
          <w:rFonts w:ascii="Times New Roman;serif" w:hAnsi="Times New Roman;serif"/>
          <w:b w:val="false"/>
          <w:color w:val="000000"/>
          <w:sz w:val="22"/>
          <w:shd w:fill="FFFFFF" w:val="clear"/>
        </w:rPr>
        <w:t>primarily due to lower operating margin.</w:t>
      </w:r>
    </w:p>
    <w:p>
      <w:pPr>
        <w:pStyle w:val="TextBody"/>
        <w:bidi w:val="0"/>
        <w:spacing w:lineRule="auto" w:line="288" w:before="180" w:after="283"/>
        <w:jc w:val="both"/>
        <w:rPr/>
      </w:pPr>
      <w:r>
        <w:rPr>
          <w:rFonts w:ascii="Times New Roman;serif" w:hAnsi="Times New Roman;serif"/>
          <w:b w:val="false"/>
          <w:i/>
          <w:color w:val="000000"/>
          <w:sz w:val="22"/>
          <w:shd w:fill="FFFFFF" w:val="clear"/>
        </w:rPr>
        <w:t>Orders</w:t>
      </w:r>
      <w:r>
        <w:rPr>
          <w:rFonts w:ascii="Times New Roman;serif" w:hAnsi="Times New Roman;serif"/>
          <w:b w:val="false"/>
          <w:color w:val="000000"/>
          <w:sz w:val="22"/>
          <w:shd w:fill="FFFFFF" w:val="clear"/>
        </w:rPr>
        <w:t xml:space="preserve">. Net new orders for the third quarter increased to 900, up 4.5% from 861 in the prior year quarter, driven by a 3.7% increase in sales pace to 1.8 orders per community per month from 1.7 in the prior year quarter and a </w:t>
      </w:r>
      <w:r>
        <w:rPr>
          <w:rFonts w:ascii="Times New Roman;serif" w:hAnsi="Times New Roman;serif"/>
          <w:b w:val="false"/>
          <w:color w:val="000000"/>
          <w:sz w:val="22"/>
        </w:rPr>
        <w:t>0.8% increase in average community count to 169 from 167 a year ago</w:t>
      </w:r>
      <w:r>
        <w:rPr>
          <w:rFonts w:ascii="Times New Roman;serif" w:hAnsi="Times New Roman;serif"/>
          <w:b w:val="false"/>
          <w:color w:val="000000"/>
          <w:sz w:val="22"/>
          <w:shd w:fill="FFFFFF" w:val="clear"/>
        </w:rPr>
        <w:t xml:space="preserve">. The cancellation rate for the quarter was 15.9%, down from 19.8% in the prior year quarter.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i/>
          <w:color w:val="000000"/>
          <w:sz w:val="22"/>
          <w:shd w:fill="FFFFFF" w:val="clear"/>
        </w:rPr>
        <w:t>Backlog</w:t>
      </w:r>
      <w:r>
        <w:rPr>
          <w:rFonts w:ascii="Times New Roman;serif" w:hAnsi="Times New Roman;serif"/>
          <w:b w:val="false"/>
          <w:color w:val="000000"/>
          <w:sz w:val="22"/>
          <w:shd w:fill="FFFFFF" w:val="clear"/>
        </w:rPr>
        <w:t xml:space="preserve">. The dollar value of homes in backlog as of June 30, 2026 was $758.5 million, representing 1,303 homes, compared to $742.5 million, representing 1,352 homes, at the same time last year. The ASP of homes in backlog was $582.1 thousand, up 6.0% versus the prior year quarter. The increase in backlog ASP was </w:t>
      </w:r>
      <w:r>
        <w:rPr>
          <w:rFonts w:ascii="Times New Roman;serif" w:hAnsi="Times New Roman;serif"/>
          <w:b w:val="false"/>
          <w:color w:val="000000"/>
          <w:sz w:val="22"/>
        </w:rPr>
        <w:t>primarily due to changes in product and community mix.</w:t>
      </w:r>
    </w:p>
    <w:p>
      <w:pPr>
        <w:pStyle w:val="TextBody"/>
        <w:bidi w:val="0"/>
        <w:spacing w:lineRule="auto" w:line="288" w:before="180" w:after="283"/>
        <w:jc w:val="both"/>
        <w:rPr/>
      </w:pPr>
      <w:r>
        <w:rPr>
          <w:rFonts w:ascii="Times New Roman;serif" w:hAnsi="Times New Roman;serif"/>
          <w:b w:val="false"/>
          <w:i/>
          <w:color w:val="000000"/>
          <w:sz w:val="22"/>
          <w:shd w:fill="FFFFFF" w:val="clear"/>
        </w:rPr>
        <w:t>Homebuilding Revenue</w:t>
      </w:r>
      <w:r>
        <w:rPr>
          <w:rFonts w:ascii="Times New Roman;serif" w:hAnsi="Times New Roman;serif"/>
          <w:b w:val="false"/>
          <w:color w:val="000000"/>
          <w:sz w:val="22"/>
          <w:shd w:fill="FFFFFF" w:val="clear"/>
        </w:rPr>
        <w:t xml:space="preserve">. Third quarter homebuilding revenue was $490.9 million, down 8.3% year-over-year. The decrease in homebuilding revenue was driven by a 13.4% decrease in home closings to 896 homes, partially offset by a 5.9% increase in ASP to $547.8 thousand. </w:t>
      </w:r>
      <w:r>
        <w:rPr>
          <w:rFonts w:ascii="Times New Roman;serif" w:hAnsi="Times New Roman;serif"/>
          <w:b w:val="false"/>
          <w:color w:val="000000"/>
          <w:sz w:val="22"/>
        </w:rPr>
        <w:t>The decrease in closings was primarily due to lower beginning backlog, partially offset by improved construction cycle times compared to the prior year quarter.</w:t>
      </w:r>
    </w:p>
    <w:p>
      <w:pPr>
        <w:pStyle w:val="TextBody"/>
        <w:bidi w:val="0"/>
        <w:spacing w:lineRule="auto" w:line="288" w:before="180" w:after="283"/>
        <w:jc w:val="both"/>
        <w:rPr/>
      </w:pPr>
      <w:r>
        <w:rPr>
          <w:rFonts w:ascii="Times New Roman;serif" w:hAnsi="Times New Roman;serif"/>
          <w:b w:val="false"/>
          <w:i/>
          <w:color w:val="000000"/>
          <w:sz w:val="22"/>
          <w:shd w:fill="FFFFFF" w:val="clear"/>
        </w:rPr>
        <w:t>Homebuilding Gross Margin</w:t>
      </w:r>
      <w:r>
        <w:rPr>
          <w:rFonts w:ascii="Times New Roman;serif" w:hAnsi="Times New Roman;serif"/>
          <w:b w:val="false"/>
          <w:color w:val="000000"/>
          <w:sz w:val="22"/>
          <w:shd w:fill="FFFFFF" w:val="clear"/>
        </w:rPr>
        <w:t xml:space="preserve">. Homebuilding gross margin </w:t>
      </w:r>
      <w:r>
        <w:rPr>
          <w:rFonts w:ascii="Times New Roman;serif" w:hAnsi="Times New Roman;serif"/>
          <w:b w:val="false"/>
          <w:color w:val="000000"/>
          <w:sz w:val="22"/>
        </w:rPr>
        <w:t>was 13.6%, up 10 basis points compared to a year ago. E</w:t>
      </w:r>
      <w:r>
        <w:rPr>
          <w:rFonts w:ascii="Times New Roman;serif" w:hAnsi="Times New Roman;serif"/>
          <w:b w:val="false"/>
          <w:color w:val="000000"/>
          <w:sz w:val="22"/>
          <w:shd w:fill="FFFFFF" w:val="clear"/>
        </w:rPr>
        <w:t>xcluding impairments, abandonments, and amor</w:t>
      </w:r>
      <w:r>
        <w:rPr>
          <w:rFonts w:ascii="Times New Roman;serif" w:hAnsi="Times New Roman;serif"/>
          <w:b w:val="false"/>
          <w:color w:val="000000"/>
          <w:sz w:val="22"/>
        </w:rPr>
        <w:t xml:space="preserve">tized interest, homebuilding gross margin was 16.9% for the third quarter, down from 18.4% in the prior year quarter </w:t>
      </w:r>
      <w:r>
        <w:rPr>
          <w:rFonts w:ascii="Times New Roman;serif" w:hAnsi="Times New Roman;serif"/>
          <w:b w:val="false"/>
          <w:color w:val="000000"/>
          <w:sz w:val="22"/>
          <w:shd w:fill="FFFFFF" w:val="clear"/>
        </w:rPr>
        <w:t>primarily due to an increase in price concessions and closing cost incentives and changes in existing product and community mix. Homebuilding gross margin was up by 160 basis points sequentially from 12.0% in the prior fiscal quarter, and up 130 basis points from 15.6% sequentially when excluding impairments, abandonments, and interest amortization, primarily driven by reductions in direct construction costs and a larger share of closings from newer, higher-margin communities.</w:t>
      </w:r>
    </w:p>
    <w:p>
      <w:pPr>
        <w:pStyle w:val="TextBody"/>
        <w:bidi w:val="0"/>
        <w:spacing w:lineRule="auto" w:line="288" w:before="180" w:after="283"/>
        <w:jc w:val="both"/>
        <w:rPr/>
      </w:pPr>
      <w:r>
        <w:rPr>
          <w:rFonts w:ascii="Times New Roman;serif" w:hAnsi="Times New Roman;serif"/>
          <w:b w:val="false"/>
          <w:i/>
          <w:color w:val="000000"/>
          <w:sz w:val="22"/>
        </w:rPr>
        <w:t>SG&amp;A Expenses</w:t>
      </w:r>
      <w:r>
        <w:rPr>
          <w:rFonts w:ascii="Times New Roman;serif" w:hAnsi="Times New Roman;serif"/>
          <w:b w:val="false"/>
          <w:color w:val="000000"/>
          <w:sz w:val="22"/>
        </w:rPr>
        <w:t>. Selling, general and administrative expenses as a percentage of total revenue was 14.1% for the quarter, up 90 basis points year-over-year primarily due to lower homebuilding revenue. SG&amp;A expense was $72.5 million for the quarter ended June 30, 2026, relatively flat compared to the prior year quarter.</w:t>
      </w:r>
    </w:p>
    <w:p>
      <w:pPr>
        <w:pStyle w:val="TextBody"/>
        <w:bidi w:val="0"/>
        <w:spacing w:lineRule="auto" w:line="288" w:before="180" w:after="283"/>
        <w:jc w:val="both"/>
        <w:rPr/>
      </w:pPr>
      <w:r>
        <w:rPr>
          <w:rFonts w:ascii="Times New Roman;serif" w:hAnsi="Times New Roman;serif"/>
          <w:b w:val="false"/>
          <w:i/>
          <w:color w:val="000000"/>
          <w:sz w:val="22"/>
        </w:rPr>
        <w:t>Income Taxes</w:t>
      </w:r>
      <w:r>
        <w:rPr>
          <w:rFonts w:ascii="Times New Roman;serif" w:hAnsi="Times New Roman;serif"/>
          <w:b w:val="false"/>
          <w:color w:val="000000"/>
          <w:sz w:val="22"/>
        </w:rPr>
        <w:t xml:space="preserve">. </w:t>
      </w:r>
      <w:r>
        <w:rPr>
          <w:rFonts w:ascii="Times New Roman;serif" w:hAnsi="Times New Roman;serif"/>
          <w:b w:val="false"/>
          <w:color w:val="000000"/>
          <w:sz w:val="22"/>
          <w:shd w:fill="FFFFFF" w:val="clear"/>
        </w:rPr>
        <w:t xml:space="preserve">Income tax benefit for the third quarter was </w:t>
      </w:r>
      <w:r>
        <w:rPr>
          <w:rFonts w:ascii="Times New Roman;serif" w:hAnsi="Times New Roman;serif"/>
          <w:b w:val="false"/>
          <w:color w:val="000000"/>
          <w:sz w:val="22"/>
        </w:rPr>
        <w:t>$6.3 million</w:t>
      </w:r>
      <w:r>
        <w:rPr>
          <w:color w:val="000000"/>
          <w:shd w:fill="FFFFFF" w:val="clear"/>
        </w:rPr>
        <w:t xml:space="preserve"> </w:t>
      </w:r>
      <w:r>
        <w:rPr>
          <w:rFonts w:ascii="Times New Roman;serif" w:hAnsi="Times New Roman;serif"/>
          <w:b w:val="false"/>
          <w:color w:val="000000"/>
          <w:sz w:val="22"/>
          <w:shd w:fill="FFFFFF" w:val="clear"/>
        </w:rPr>
        <w:t xml:space="preserve">compared to income tax benefit of </w:t>
      </w:r>
      <w:r>
        <w:rPr>
          <w:rFonts w:ascii="Times New Roman;serif" w:hAnsi="Times New Roman;serif"/>
          <w:b w:val="false"/>
          <w:color w:val="000000"/>
          <w:sz w:val="22"/>
        </w:rPr>
        <w:t>$2.2 million</w:t>
      </w:r>
      <w:r>
        <w:rPr>
          <w:color w:val="000000"/>
          <w:shd w:fill="FFFFFF" w:val="clear"/>
        </w:rPr>
        <w:t xml:space="preserve"> </w:t>
      </w:r>
      <w:r>
        <w:rPr>
          <w:rFonts w:ascii="Times New Roman;serif" w:hAnsi="Times New Roman;serif"/>
          <w:b w:val="false"/>
          <w:color w:val="000000"/>
          <w:sz w:val="22"/>
          <w:shd w:fill="FFFFFF" w:val="clear"/>
        </w:rPr>
        <w:t>in the prior year quarter. T</w:t>
      </w:r>
      <w:r>
        <w:rPr>
          <w:rFonts w:ascii="Times New Roman;serif" w:hAnsi="Times New Roman;serif"/>
          <w:b w:val="false"/>
          <w:color w:val="000000"/>
          <w:sz w:val="22"/>
        </w:rPr>
        <w:t>he Company's effective tax rate for the current fiscal quarter was impacted by a change in the approach used to calculate the interim income tax provision, reducing comparability with the prior year quarter. Refer to Note 10 to the condensed consolidated financial statements within the Company's Form 10-Q for the quarter ended June 30, 2026 for additional details.</w:t>
      </w:r>
    </w:p>
    <w:p>
      <w:pPr>
        <w:pStyle w:val="TextBody"/>
        <w:bidi w:val="0"/>
        <w:spacing w:lineRule="auto" w:line="288" w:before="180" w:after="283"/>
        <w:jc w:val="both"/>
        <w:rPr/>
      </w:pPr>
      <w:r>
        <w:rPr>
          <w:rFonts w:ascii="Times New Roman;serif" w:hAnsi="Times New Roman;serif"/>
          <w:b w:val="false"/>
          <w:i/>
          <w:color w:val="000000"/>
          <w:sz w:val="22"/>
          <w:shd w:fill="FFFFFF" w:val="clear"/>
        </w:rPr>
        <w:t xml:space="preserve">Land Position. </w:t>
      </w:r>
      <w:r>
        <w:rPr>
          <w:rFonts w:ascii="Times New Roman;serif" w:hAnsi="Times New Roman;serif"/>
          <w:b w:val="false"/>
          <w:color w:val="000000"/>
          <w:sz w:val="22"/>
        </w:rPr>
        <w:t xml:space="preserve">During the </w:t>
      </w:r>
      <w:r>
        <w:rPr>
          <w:rFonts w:ascii="Times New Roman;serif" w:hAnsi="Times New Roman;serif"/>
          <w:b w:val="false"/>
          <w:color w:val="000000"/>
          <w:sz w:val="22"/>
          <w:shd w:fill="FFFFFF" w:val="clear"/>
        </w:rPr>
        <w:t>third</w:t>
      </w:r>
      <w:r>
        <w:rPr>
          <w:color w:val="000000"/>
        </w:rPr>
        <w:t xml:space="preserve"> </w:t>
      </w:r>
      <w:r>
        <w:rPr>
          <w:rFonts w:ascii="Times New Roman;serif" w:hAnsi="Times New Roman;serif"/>
          <w:b w:val="false"/>
          <w:color w:val="000000"/>
          <w:sz w:val="22"/>
        </w:rPr>
        <w:t xml:space="preserve">quarter, land acquisition and land development spending was $199.6 million, up 29.7% year-over-year. </w:t>
      </w:r>
      <w:r>
        <w:rPr>
          <w:rFonts w:ascii="Times New Roman;serif" w:hAnsi="Times New Roman;serif"/>
          <w:b w:val="false"/>
          <w:color w:val="000000"/>
          <w:sz w:val="22"/>
          <w:shd w:fill="FFFFFF" w:val="clear"/>
        </w:rPr>
        <w:t>Controlled lots decreased 11.9% to 24,489, compared to 27,794 from</w:t>
      </w:r>
      <w:r>
        <w:rPr>
          <w:color w:val="000000"/>
        </w:rPr>
        <w:t xml:space="preserve"> </w:t>
      </w:r>
      <w:r>
        <w:rPr>
          <w:rFonts w:ascii="Times New Roman;serif" w:hAnsi="Times New Roman;serif"/>
          <w:b w:val="false"/>
          <w:color w:val="000000"/>
          <w:sz w:val="22"/>
        </w:rPr>
        <w:t>the prior year quarter. Excluding land held for future development and land held for sale lots, active lots controlled were 23,083, down 14.3% year-over-year, as the Company manages land spend and lot position to improve capital efficiency and support future community count growth. As of June 30, 2026, the Company controlled 60.0% of its total active lots through option agreements compared to 60.1% as of June 30, 2025.</w:t>
      </w:r>
    </w:p>
    <w:p>
      <w:pPr>
        <w:pStyle w:val="TextBody"/>
        <w:bidi w:val="0"/>
        <w:spacing w:lineRule="auto" w:line="288" w:before="180" w:after="283"/>
        <w:jc w:val="both"/>
        <w:rPr/>
      </w:pPr>
      <w:r>
        <w:rPr>
          <w:rFonts w:ascii="Times New Roman;serif" w:hAnsi="Times New Roman;serif"/>
          <w:b w:val="false"/>
          <w:i/>
          <w:color w:val="000000"/>
          <w:sz w:val="22"/>
        </w:rPr>
        <w:t>Liquidity</w:t>
      </w:r>
      <w:r>
        <w:rPr>
          <w:rFonts w:ascii="Times New Roman;serif" w:hAnsi="Times New Roman;serif"/>
          <w:b w:val="false"/>
          <w:color w:val="000000"/>
          <w:sz w:val="22"/>
        </w:rPr>
        <w:t>. At the close of the third quarter, the Com</w:t>
      </w:r>
      <w:r>
        <w:rPr>
          <w:rFonts w:ascii="Times New Roman;serif" w:hAnsi="Times New Roman;serif"/>
          <w:b w:val="false"/>
          <w:color w:val="000000"/>
          <w:sz w:val="22"/>
          <w:shd w:fill="FFFFFF" w:val="clear"/>
        </w:rPr>
        <w:t xml:space="preserve">pany had $263.8 million of available liquidity, including $124.6 million of unrestricted cash and $139.2 million of remaining capacity under the unsecured revolving credit facility, compared to total available liquidity of $292.3 million a year ago. </w:t>
      </w:r>
      <w:r>
        <w:rPr>
          <w:rFonts w:ascii="Times New Roman;serif" w:hAnsi="Times New Roman;serif"/>
          <w:b w:val="false"/>
          <w:color w:val="000000"/>
          <w:sz w:val="22"/>
        </w:rPr>
        <w:t>During the third quarter, the Company issued $400.0 million of 8.000% Senior Unsecured Notes due in January 2032 and retired the $357.0 million of 5.875% Senior Unsecured Notes, which were set to mature in October 2027. The Company’s nearest maturity is now the $350.0 million tranche of Senior Unsecured Notes due in October 2029.</w:t>
      </w:r>
    </w:p>
    <w:p>
      <w:pPr>
        <w:pStyle w:val="TextBody"/>
        <w:bidi w:val="0"/>
        <w:spacing w:lineRule="auto" w:line="288" w:before="180" w:after="283"/>
        <w:jc w:val="both"/>
        <w:rPr/>
      </w:pPr>
      <w:r>
        <w:rPr>
          <w:rFonts w:ascii="Times New Roman;serif" w:hAnsi="Times New Roman;serif"/>
          <w:b w:val="false"/>
          <w:i/>
          <w:color w:val="000000"/>
          <w:sz w:val="22"/>
        </w:rPr>
        <w:t xml:space="preserve">Share Repurchases. </w:t>
      </w:r>
      <w:r>
        <w:rPr>
          <w:rFonts w:ascii="Times New Roman;serif" w:hAnsi="Times New Roman;serif"/>
          <w:b w:val="false"/>
          <w:color w:val="000000"/>
          <w:sz w:val="22"/>
        </w:rPr>
        <w:t xml:space="preserve">During the </w:t>
      </w:r>
      <w:r>
        <w:rPr>
          <w:rFonts w:ascii="Times New Roman;serif" w:hAnsi="Times New Roman;serif"/>
          <w:b w:val="false"/>
          <w:color w:val="000000"/>
          <w:sz w:val="22"/>
          <w:shd w:fill="FFFFFF" w:val="clear"/>
        </w:rPr>
        <w:t>third</w:t>
      </w:r>
      <w:r>
        <w:rPr>
          <w:color w:val="000000"/>
        </w:rPr>
        <w:t xml:space="preserve"> </w:t>
      </w:r>
      <w:r>
        <w:rPr>
          <w:rFonts w:ascii="Times New Roman;serif" w:hAnsi="Times New Roman;serif"/>
          <w:b w:val="false"/>
          <w:color w:val="000000"/>
          <w:sz w:val="22"/>
        </w:rPr>
        <w:t xml:space="preserve">quarter, the Company repurchased 1.0 million shares of its outstanding common stock for an aggregate $21.0 million at an average price per share of $21.01, bringing year-to-date repurchase activity to $66.2 million for </w:t>
      </w:r>
      <w:r>
        <w:rPr>
          <w:rFonts w:ascii="Times New Roman;serif" w:hAnsi="Times New Roman;serif"/>
          <w:b w:val="false"/>
          <w:color w:val="000000"/>
          <w:sz w:val="22"/>
          <w:shd w:fill="FFFFFF" w:val="clear"/>
        </w:rPr>
        <w:t>2.9 million</w:t>
      </w:r>
      <w:r>
        <w:rPr>
          <w:color w:val="000000"/>
        </w:rPr>
        <w:t xml:space="preserve"> </w:t>
      </w:r>
      <w:r>
        <w:rPr>
          <w:rFonts w:ascii="Times New Roman;serif" w:hAnsi="Times New Roman;serif"/>
          <w:b w:val="false"/>
          <w:color w:val="000000"/>
          <w:sz w:val="22"/>
        </w:rPr>
        <w:t>shares at an average price of $23.04 per share. This equates to repurchasing 9.7% of the Company’s shares that were outstanding at the beginning of the fiscal year.</w:t>
      </w:r>
    </w:p>
    <w:p>
      <w:pPr>
        <w:pStyle w:val="TextBody"/>
        <w:bidi w:val="0"/>
        <w:spacing w:lineRule="auto" w:line="288" w:before="18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Commitment to Sustainability</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During the third fiscal quarter, Beazer Homes received the Hearthstone BUILDER Humanitarian Award, the highest recognition for charitable leadership and community impact in the homebuilding industry. This award is presented to only one builder nationwide each year, and is widely recognized as a lifetime achievement distinction for sustained philanthropic leadership and partnership. This award reflects the collective effort of all Beazer Homes employees throughout years of consistent volunteerism, fundraising, and leadership, all in support of Fisher House Foundation and other charitable organizations. In connection with the Company receiving this honor, the Hearthstone Foundation also donated $250 thousand to the Fisher House Foundation.</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Summary results for the three and nine months ended June 30, 2026 and 2025 are as follows:</w:t>
      </w:r>
    </w:p>
    <w:tbl>
      <w:tblPr>
        <w:tblW w:w="10205" w:type="dxa"/>
        <w:jc w:val="left"/>
        <w:tblInd w:w="0" w:type="dxa"/>
        <w:tblLayout w:type="fixed"/>
        <w:tblCellMar>
          <w:top w:w="28" w:type="dxa"/>
          <w:left w:w="28" w:type="dxa"/>
          <w:bottom w:w="28" w:type="dxa"/>
          <w:right w:w="28" w:type="dxa"/>
        </w:tblCellMar>
      </w:tblPr>
      <w:tblGrid>
        <w:gridCol w:w="2273"/>
        <w:gridCol w:w="1874"/>
        <w:gridCol w:w="1884"/>
        <w:gridCol w:w="211"/>
        <w:gridCol w:w="631"/>
        <w:gridCol w:w="301"/>
        <w:gridCol w:w="109"/>
        <w:gridCol w:w="109"/>
        <w:gridCol w:w="109"/>
        <w:gridCol w:w="211"/>
        <w:gridCol w:w="616"/>
        <w:gridCol w:w="271"/>
        <w:gridCol w:w="109"/>
        <w:gridCol w:w="109"/>
        <w:gridCol w:w="109"/>
        <w:gridCol w:w="391"/>
        <w:gridCol w:w="375"/>
        <w:gridCol w:w="513"/>
      </w:tblGrid>
      <w:tr>
        <w:trPr/>
        <w:tc>
          <w:tcPr>
            <w:tcW w:w="2273"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6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6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home orders, net of cancellations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900</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rates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Orders per community per month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active community count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community count at quarter-end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acquisition and land development spending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closings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ASP from closings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547.8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revenue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bps</w:t>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 excluding impairments and abandonments (I&amp;A) (Non-GAAP)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bps</w:t>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 excluding I&amp;A and interest amortized to cost of sales (Non-GAAP)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bps</w:t>
            </w:r>
          </w:p>
        </w:tc>
      </w:tr>
      <w:tr>
        <w:trPr/>
        <w:tc>
          <w:tcPr>
            <w:tcW w:w="6031"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 as a percentage of total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bps</w:t>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 (in millions)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Benefit from income taxes (in millions)</w:t>
            </w:r>
            <w:r>
              <w:rPr>
                <w:rFonts w:ascii="Times New Roman;serif" w:hAnsi="Times New Roman;serif"/>
                <w:b w:val="false"/>
                <w:color w:val="000000"/>
                <w:sz w:val="13"/>
              </w:rPr>
              <w:t>(b)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 millions)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1,204.6 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 (in millions)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 net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 (in millions)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income excluding loss on debt extinguishment and inventory impairments and abandonments before income taxes (in millions)</w:t>
            </w:r>
            <w:r>
              <w:rPr>
                <w:rFonts w:ascii="Times New Roman;serif" w:hAnsi="Times New Roman;serif"/>
                <w:b w:val="false"/>
                <w:color w:val="000000"/>
                <w:sz w:val="13"/>
              </w:rPr>
              <w:t xml:space="preserve">(c) </w:t>
            </w:r>
            <w:r>
              <w:rPr>
                <w:rFonts w:ascii="Times New Roman;serif" w:hAnsi="Times New Roman;serif"/>
                <w:b w:val="false"/>
                <w:color w:val="000000"/>
                <w:sz w:val="20"/>
              </w:rPr>
              <w:t>(Non-GAAP)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income excluding loss on debt extinguishment and inventory impairments and abandonments after income taxes (in millions)</w:t>
            </w:r>
            <w:r>
              <w:rPr>
                <w:rFonts w:ascii="Times New Roman;serif" w:hAnsi="Times New Roman;serif"/>
                <w:b w:val="false"/>
                <w:color w:val="000000"/>
                <w:sz w:val="13"/>
              </w:rPr>
              <w:t xml:space="preserve">(c)(d) </w:t>
            </w:r>
            <w:r>
              <w:rPr>
                <w:rFonts w:ascii="Times New Roman;serif" w:hAnsi="Times New Roman;serif"/>
                <w:b w:val="false"/>
                <w:color w:val="000000"/>
                <w:sz w:val="20"/>
              </w:rPr>
              <w:t>(Non-GAAP)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 millions)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1,204.6 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(in millions) (Non-GAAP)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LTM</w:t>
            </w:r>
            <w:r>
              <w:rPr>
                <w:rFonts w:ascii="Times New Roman;serif" w:hAnsi="Times New Roman;serif"/>
                <w:b w:val="false"/>
                <w:color w:val="000000"/>
                <w:sz w:val="13"/>
              </w:rPr>
              <w:t>(e)</w:t>
            </w:r>
            <w:r>
              <w:rPr>
                <w:color w:val="000000"/>
              </w:rPr>
              <w:t xml:space="preserve"> </w:t>
            </w:r>
            <w:r>
              <w:rPr>
                <w:rFonts w:ascii="Times New Roman;serif" w:hAnsi="Times New Roman;serif"/>
                <w:b w:val="false"/>
                <w:color w:val="000000"/>
                <w:sz w:val="20"/>
              </w:rPr>
              <w:t>Adjusted EBITDA (in millions) (Non-GAAP)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to total capitalization ratio</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bps</w:t>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to net capitalization ratio (Non-GAAP)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bps</w:t>
            </w:r>
          </w:p>
        </w:tc>
      </w:tr>
    </w:tbl>
    <w:p>
      <w:pPr>
        <w:pStyle w:val="TextBody"/>
        <w:bidi w:val="0"/>
        <w:spacing w:lineRule="auto" w:line="288" w:before="120" w:after="283"/>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Change and totals are calculated using unrounded numbers.</w:t>
      </w:r>
    </w:p>
    <w:p>
      <w:pPr>
        <w:pStyle w:val="TextBody"/>
        <w:bidi w:val="0"/>
        <w:spacing w:lineRule="auto" w:line="288" w:before="120" w:after="283"/>
        <w:jc w:val="both"/>
        <w:rPr/>
      </w:pPr>
      <w:r>
        <w:rPr>
          <w:rFonts w:ascii="Times New Roman;serif" w:hAnsi="Times New Roman;serif"/>
          <w:b w:val="false"/>
          <w:color w:val="000000"/>
          <w:sz w:val="10"/>
        </w:rPr>
        <w:t xml:space="preserve">(a) </w:t>
      </w:r>
      <w:r>
        <w:rPr>
          <w:rFonts w:ascii="Times New Roman;serif" w:hAnsi="Times New Roman;serif"/>
          <w:b w:val="false"/>
          <w:color w:val="000000"/>
          <w:sz w:val="16"/>
        </w:rPr>
        <w:t>n/m - indicates the percentage is "not meaningful."</w:t>
      </w:r>
    </w:p>
    <w:p>
      <w:pPr>
        <w:pStyle w:val="TextBody"/>
        <w:bidi w:val="0"/>
        <w:spacing w:lineRule="auto" w:line="288" w:before="120" w:after="283"/>
        <w:ind w:left="0" w:right="0" w:hanging="180"/>
        <w:jc w:val="both"/>
        <w:rPr/>
      </w:pPr>
      <w:r>
        <w:rPr>
          <w:rFonts w:ascii="Times New Roman;serif" w:hAnsi="Times New Roman;serif"/>
          <w:b w:val="false"/>
          <w:color w:val="000000"/>
          <w:sz w:val="10"/>
        </w:rPr>
        <w:t xml:space="preserve">(b) </w:t>
      </w:r>
      <w:r>
        <w:rPr>
          <w:rFonts w:ascii="Times New Roman;serif" w:hAnsi="Times New Roman;serif"/>
          <w:b w:val="false"/>
          <w:color w:val="000000"/>
          <w:sz w:val="16"/>
        </w:rPr>
        <w:t>The Company's effective tax rate for the current fiscal quarter was impacted by a change in the approach used to calculate the interim income tax provision, reducing comparability with the prior year quarter. Refer to Note 10 to the condensed consolidated financial statements within the Company's Form 10-Q for the quarter ended June 30, 2026 for additional details.</w:t>
      </w:r>
    </w:p>
    <w:p>
      <w:pPr>
        <w:pStyle w:val="TextBody"/>
        <w:bidi w:val="0"/>
        <w:spacing w:lineRule="auto" w:line="288" w:before="120" w:after="283"/>
        <w:ind w:left="0" w:right="0" w:hanging="180"/>
        <w:jc w:val="both"/>
        <w:rPr/>
      </w:pPr>
      <w:r>
        <w:rPr>
          <w:rFonts w:ascii="Times New Roman;serif" w:hAnsi="Times New Roman;serif"/>
          <w:b w:val="false"/>
          <w:color w:val="000000"/>
          <w:sz w:val="10"/>
        </w:rPr>
        <w:t xml:space="preserve">(c) </w:t>
      </w:r>
      <w:r>
        <w:rPr>
          <w:rFonts w:ascii="Times New Roman;serif" w:hAnsi="Times New Roman;serif"/>
          <w:b w:val="false"/>
          <w:color w:val="000000"/>
          <w:sz w:val="16"/>
        </w:rPr>
        <w:t>Management believes that these measures assist investors in understanding and comparing the operating characteristics of homebuilding activities by eliminating the differences in companies' respective level of loss on debt extinguishment and inventory impairments and abandonments. These measures should not be considered alternatives to income from continuing operations before income taxes and income from continuing operations after income taxes determined in accordance with GAAP as indicators of operating performance.</w:t>
      </w:r>
    </w:p>
    <w:p>
      <w:pPr>
        <w:pStyle w:val="TextBody"/>
        <w:bidi w:val="0"/>
        <w:spacing w:lineRule="auto" w:line="288" w:before="120" w:after="283"/>
        <w:ind w:left="0" w:right="0" w:hanging="180"/>
        <w:jc w:val="left"/>
        <w:rPr/>
      </w:pPr>
      <w:r>
        <w:rPr>
          <w:rFonts w:ascii="Times New Roman;serif" w:hAnsi="Times New Roman;serif"/>
          <w:b w:val="false"/>
          <w:color w:val="000000"/>
          <w:sz w:val="10"/>
        </w:rPr>
        <w:t xml:space="preserve">(d) </w:t>
      </w:r>
      <w:r>
        <w:rPr>
          <w:rFonts w:ascii="Times New Roman;serif" w:hAnsi="Times New Roman;serif"/>
          <w:b w:val="false"/>
          <w:color w:val="000000"/>
          <w:sz w:val="16"/>
        </w:rPr>
        <w:t>For the three months ended June 30, 2026, loss on debt extinguishment and inventory impairments and abandonments were tax-effected at the effective tax rate of 37.4%. For the three months ended June 30, 2025, inventory impairments and abandonments were tax-effected at the effective tax rate of (2.5)%.</w:t>
      </w:r>
    </w:p>
    <w:p>
      <w:pPr>
        <w:pStyle w:val="TextBody"/>
        <w:bidi w:val="0"/>
        <w:spacing w:lineRule="auto" w:line="288" w:before="120" w:after="283"/>
        <w:ind w:left="0" w:right="0" w:hanging="180"/>
        <w:jc w:val="left"/>
        <w:rPr/>
      </w:pPr>
      <w:r>
        <w:rPr>
          <w:rFonts w:ascii="Times New Roman;serif" w:hAnsi="Times New Roman;serif"/>
          <w:b w:val="false"/>
          <w:color w:val="000000"/>
          <w:sz w:val="10"/>
        </w:rPr>
        <w:t xml:space="preserve">(e) </w:t>
      </w:r>
      <w:r>
        <w:rPr>
          <w:rFonts w:ascii="Times New Roman;serif" w:hAnsi="Times New Roman;serif"/>
          <w:b w:val="false"/>
          <w:color w:val="000000"/>
          <w:sz w:val="16"/>
        </w:rPr>
        <w:t>LTM indicates amounts for the trailing 12 months.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68"/>
        <w:gridCol w:w="1778"/>
        <w:gridCol w:w="1786"/>
        <w:gridCol w:w="211"/>
        <w:gridCol w:w="781"/>
        <w:gridCol w:w="301"/>
        <w:gridCol w:w="109"/>
        <w:gridCol w:w="109"/>
        <w:gridCol w:w="109"/>
        <w:gridCol w:w="211"/>
        <w:gridCol w:w="766"/>
        <w:gridCol w:w="271"/>
        <w:gridCol w:w="109"/>
        <w:gridCol w:w="109"/>
        <w:gridCol w:w="109"/>
        <w:gridCol w:w="390"/>
        <w:gridCol w:w="376"/>
        <w:gridCol w:w="512"/>
      </w:tblGrid>
      <w:tr>
        <w:trPr/>
        <w:tc>
          <w:tcPr>
            <w:tcW w:w="216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5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home orders, net of cancellations</w:t>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2,711</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rates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LTM orders per community per month</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acquisition and land development spending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closings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ASP from closings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530.5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revenue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1,248.4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bps</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 excluding I&amp;A (Non-GAAP)</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bps</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 excluding I&amp;A and interest amortized to cost of sales (Non-GAAP)</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bps</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 as a percentage of total revenue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bps</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 (in millions)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Benefit from income taxes (in millions)</w:t>
            </w:r>
            <w:r>
              <w:rPr>
                <w:rFonts w:ascii="Times New Roman;serif" w:hAnsi="Times New Roman;serif"/>
                <w:b w:val="false"/>
                <w:color w:val="000000"/>
                <w:sz w:val="13"/>
              </w:rPr>
              <w:t>(b)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2,859.4 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(in millions)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income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income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5732"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 (in millions)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 net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 (in millions)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income excluding loss on debt extinguishment and inventory impairments and abandonments before income taxes (in millions)</w:t>
            </w:r>
            <w:r>
              <w:rPr>
                <w:rFonts w:ascii="Times New Roman;serif" w:hAnsi="Times New Roman;serif"/>
                <w:b w:val="false"/>
                <w:color w:val="000000"/>
                <w:sz w:val="13"/>
              </w:rPr>
              <w:t xml:space="preserve">(c) </w:t>
            </w:r>
            <w:r>
              <w:rPr>
                <w:rFonts w:ascii="Times New Roman;serif" w:hAnsi="Times New Roman;serif"/>
                <w:b w:val="false"/>
                <w:color w:val="000000"/>
                <w:sz w:val="20"/>
              </w:rPr>
              <w:t>(Non-GAAP)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income excluding loss on debt extinguishment and inventory impairments and abandonments after income taxes (in millions)</w:t>
            </w:r>
            <w:r>
              <w:rPr>
                <w:rFonts w:ascii="Times New Roman;serif" w:hAnsi="Times New Roman;serif"/>
                <w:b w:val="false"/>
                <w:color w:val="000000"/>
                <w:sz w:val="13"/>
              </w:rPr>
              <w:t xml:space="preserve">(c)(d) </w:t>
            </w:r>
            <w:r>
              <w:rPr>
                <w:rFonts w:ascii="Times New Roman;serif" w:hAnsi="Times New Roman;serif"/>
                <w:b w:val="false"/>
                <w:color w:val="000000"/>
                <w:sz w:val="20"/>
              </w:rPr>
              <w:t>(Non-GAAP)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(in millions) (Non-GAAP)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Change and totals are calculated using unrounded numbers.</w:t>
      </w:r>
    </w:p>
    <w:p>
      <w:pPr>
        <w:pStyle w:val="TextBody"/>
        <w:bidi w:val="0"/>
        <w:spacing w:lineRule="auto" w:line="288" w:before="120" w:after="283"/>
        <w:jc w:val="both"/>
        <w:rPr/>
      </w:pPr>
      <w:r>
        <w:rPr>
          <w:rFonts w:ascii="Times New Roman;serif" w:hAnsi="Times New Roman;serif"/>
          <w:b w:val="false"/>
          <w:color w:val="000000"/>
          <w:sz w:val="10"/>
        </w:rPr>
        <w:t xml:space="preserve">(a) </w:t>
      </w:r>
      <w:r>
        <w:rPr>
          <w:rFonts w:ascii="Times New Roman;serif" w:hAnsi="Times New Roman;serif"/>
          <w:b w:val="false"/>
          <w:color w:val="000000"/>
          <w:sz w:val="16"/>
        </w:rPr>
        <w:t>n/m - indicates the percentage is "not meaningful."</w:t>
      </w:r>
    </w:p>
    <w:p>
      <w:pPr>
        <w:pStyle w:val="TextBody"/>
        <w:bidi w:val="0"/>
        <w:spacing w:lineRule="auto" w:line="288" w:before="120" w:after="283"/>
        <w:ind w:left="0" w:right="0" w:hanging="180"/>
        <w:jc w:val="both"/>
        <w:rPr/>
      </w:pPr>
      <w:r>
        <w:rPr>
          <w:rFonts w:ascii="Times New Roman;serif" w:hAnsi="Times New Roman;serif"/>
          <w:b w:val="false"/>
          <w:color w:val="000000"/>
          <w:sz w:val="10"/>
        </w:rPr>
        <w:t xml:space="preserve">(b) </w:t>
      </w:r>
      <w:r>
        <w:rPr>
          <w:rFonts w:ascii="Times New Roman;serif" w:hAnsi="Times New Roman;serif"/>
          <w:b w:val="false"/>
          <w:color w:val="000000"/>
          <w:sz w:val="16"/>
        </w:rPr>
        <w:t>The Company's effective tax rate for the nine months ended June 30, 2026 was impacted by a change in the approach used to calculate the interim income tax provision, reducing comparability with the prior year period. Refer to Note 10 to the condensed consolidated financial statements within the Company's Form 10-Q for the quarter ended June 30, 2026 for additional details.</w:t>
      </w:r>
    </w:p>
    <w:p>
      <w:pPr>
        <w:pStyle w:val="TextBody"/>
        <w:bidi w:val="0"/>
        <w:spacing w:lineRule="auto" w:line="288" w:before="120" w:after="283"/>
        <w:ind w:left="0" w:right="0" w:hanging="180"/>
        <w:jc w:val="both"/>
        <w:rPr/>
      </w:pPr>
      <w:r>
        <w:rPr>
          <w:rFonts w:ascii="Times New Roman;serif" w:hAnsi="Times New Roman;serif"/>
          <w:b w:val="false"/>
          <w:color w:val="000000"/>
          <w:sz w:val="10"/>
        </w:rPr>
        <w:t xml:space="preserve">(c) </w:t>
      </w:r>
      <w:r>
        <w:rPr>
          <w:rFonts w:ascii="Times New Roman;serif" w:hAnsi="Times New Roman;serif"/>
          <w:b w:val="false"/>
          <w:color w:val="000000"/>
          <w:sz w:val="16"/>
        </w:rPr>
        <w:t>Management believes that these measures assist investors in understanding and comparing the operating characteristics of homebuilding activities by eliminating the differences in companies' respective level of loss on debt extinguishment and inventory impairments and abandonments. These measures should not be considered alternatives to income from continuing operations before income taxes and income from continuing operations after income taxes determined in accordance with GAAP as indicators of operating performance.</w:t>
      </w:r>
    </w:p>
    <w:p>
      <w:pPr>
        <w:pStyle w:val="TextBody"/>
        <w:bidi w:val="0"/>
        <w:spacing w:lineRule="auto" w:line="288" w:before="120" w:after="283"/>
        <w:ind w:left="0" w:right="0" w:hanging="180"/>
        <w:jc w:val="left"/>
        <w:rPr/>
      </w:pPr>
      <w:r>
        <w:rPr>
          <w:rFonts w:ascii="Times New Roman;serif" w:hAnsi="Times New Roman;serif"/>
          <w:b w:val="false"/>
          <w:color w:val="000000"/>
          <w:sz w:val="10"/>
        </w:rPr>
        <w:t xml:space="preserve">(d) </w:t>
      </w:r>
      <w:r>
        <w:rPr>
          <w:rFonts w:ascii="Times New Roman;serif" w:hAnsi="Times New Roman;serif"/>
          <w:b w:val="false"/>
          <w:color w:val="000000"/>
          <w:sz w:val="16"/>
        </w:rPr>
        <w:t>For the nine months ended June 30, 2026, loss on debt extinguishment and inventory impairments and abandonments were tax-effected at the effective tax rate of 37.4%. For the nine months ended June 30, 2025, inventory impairments and abandonments were tax-effected at the effective tax rate of (2.5)%.</w:t>
      </w:r>
    </w:p>
    <w:p>
      <w:pPr>
        <w:pStyle w:val="TextBody"/>
        <w:bidi w:val="0"/>
        <w:spacing w:before="120" w:after="283"/>
        <w:ind w:left="0" w:right="0" w:hanging="9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6634" w:type="dxa"/>
        <w:jc w:val="center"/>
        <w:tblInd w:w="0" w:type="dxa"/>
        <w:tblLayout w:type="fixed"/>
        <w:tblCellMar>
          <w:top w:w="28" w:type="dxa"/>
          <w:left w:w="28" w:type="dxa"/>
          <w:bottom w:w="28" w:type="dxa"/>
          <w:right w:w="28" w:type="dxa"/>
        </w:tblCellMar>
      </w:tblPr>
      <w:tblGrid>
        <w:gridCol w:w="1121"/>
        <w:gridCol w:w="983"/>
        <w:gridCol w:w="986"/>
        <w:gridCol w:w="211"/>
        <w:gridCol w:w="631"/>
        <w:gridCol w:w="109"/>
        <w:gridCol w:w="109"/>
        <w:gridCol w:w="109"/>
        <w:gridCol w:w="109"/>
        <w:gridCol w:w="211"/>
        <w:gridCol w:w="616"/>
        <w:gridCol w:w="109"/>
        <w:gridCol w:w="109"/>
        <w:gridCol w:w="109"/>
        <w:gridCol w:w="109"/>
        <w:gridCol w:w="291"/>
        <w:gridCol w:w="294"/>
        <w:gridCol w:w="418"/>
      </w:tblGrid>
      <w:tr>
        <w:trPr/>
        <w:tc>
          <w:tcPr>
            <w:tcW w:w="112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units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 value of backlog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ASP in backlog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lots controlled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80" w:after="283"/>
        <w:jc w:val="left"/>
        <w:rPr>
          <w:rFonts w:ascii="Times New Roman;serif" w:hAnsi="Times New Roman;serif"/>
          <w:b/>
          <w:i/>
          <w:color w:val="000000"/>
          <w:sz w:val="20"/>
        </w:rPr>
      </w:pPr>
      <w:r>
        <w:rPr>
          <w:rFonts w:ascii="Times New Roman;serif" w:hAnsi="Times New Roman;serif"/>
          <w:b/>
          <w:i/>
          <w:color w:val="000000"/>
          <w:sz w:val="20"/>
        </w:rPr>
        <w:t>About Beazer Homes</w:t>
      </w:r>
    </w:p>
    <w:p>
      <w:pPr>
        <w:pStyle w:val="TextBody"/>
        <w:bidi w:val="0"/>
        <w:spacing w:lineRule="auto" w:line="288" w:before="180" w:after="283"/>
        <w:jc w:val="both"/>
        <w:rPr/>
      </w:pPr>
      <w:r>
        <w:rPr>
          <w:rFonts w:ascii="Times New Roman;serif" w:hAnsi="Times New Roman;serif"/>
          <w:b w:val="false"/>
          <w:i/>
          <w:color w:val="000000"/>
          <w:sz w:val="20"/>
        </w:rPr>
        <w:t xml:space="preserve">Beazer Homes (NYSE: BZH), headquartered in Atlanta, Georgia, is a leading national homebuilder in energy-efficient construction. Building on a legacy spanning nine generations, Beazer crafts homes that deliver savings and lasting value. Our trusted team of experts guide homebuyers through the building and purchasing process to deliver an industry-leading customer experience. With curated design options, buyers can personalize their homes with confidence. Beazer's exclusive Mortgage Choice program provides access to competitive loan offers from multiple lenders, helping homebuyers choose the best financing for their individual needs. Beazer builds in 13 states nationwide. Learn more at </w:t>
      </w:r>
      <w:r>
        <w:rPr>
          <w:rFonts w:ascii="Times New Roman;serif" w:hAnsi="Times New Roman;serif"/>
          <w:b w:val="false"/>
          <w:i/>
          <w:color w:val="026DCE"/>
          <w:sz w:val="20"/>
        </w:rPr>
        <w:t>beazer.com</w:t>
      </w:r>
      <w:r>
        <w:rPr>
          <w:color w:val="000000"/>
        </w:rPr>
        <w:t xml:space="preserve"> </w:t>
      </w:r>
      <w:r>
        <w:rPr>
          <w:rFonts w:ascii="Times New Roman;serif" w:hAnsi="Times New Roman;serif"/>
          <w:b w:val="false"/>
          <w:i/>
          <w:color w:val="000000"/>
          <w:sz w:val="20"/>
        </w:rPr>
        <w:t>or follow us @BeazerHomes.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This press release contains forward-looking statements. These forward-looking statements represent our expectations or beliefs concerning future events, and it is possible that the results described in this press release will not be achieved. These forward-looking statements are subject to risks, uncertainties and other factors, many of which are outside of our control, that could cause actual results to differ materially from the results discussed in the forward-looking statements, including, among other things: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risks related to the transactions contemplated by the Merger Agreement (the “Transactions”), including but not limited to (i) the risk that the Transactions may not be completed in a timely manner or at all, which may adversely affect our businesses and the price of the shares of our common stock; (ii) the risk that the Merger Agreement may be terminated in circumstances that require us to pay a termination fee; (ii) unanticipated difficulties or expenditures relating to the Transactions, including the response of business partners and competitors to the announcement of the Transactions or difficulties in employee retention as a result of the announcement and pendency of the Transactions; (iv) risks related to diverting management’s attention from ongoing business operations; (v) the risk of any litigation relating to the Transactions; and (vii) risks relating to certain restrictions during the pendency of the Transactions that limit the ability of the Company to pursue certain business opportunities or strategic transactions;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shd w:fill="FFFFFF" w:val="clear"/>
        </w:rPr>
        <w:t>macroeconomic uncertainty, including high levels of inflation, elevated interest rates and insurance costs, stock market volatility, enhanced and/or altered government regulation resulting from legislation and/or executive orders, and historic changes in U.S. trade policy, negatively impacting consumer sentiment and softening demand for the homes we sell;</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shd w:fill="FFFFFF" w:val="clear"/>
        </w:rPr>
        <w:t>elevated mortgage interest rates for prolonged periods, as well as further increases to, and reduced availability of, mortgage financing;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supply chain challenges (including as a result of U.S. trade policies and retaliatory responses from other countries) negatively impacting our homebuilding production, including shortages of raw materials and other critical components such as windows, doors, and appliances;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our ability to meet or achieve our sustainability related goals, aspirations, initiatives, and our public statements and disclosures regarding them;</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rPr>
        <w:t>geopolitical disruptions, acts of war, terrorist attacks and other geopolitical developments outside the Company’s control, including the ongoing military conflicts between Russia and Ukraine and in the Middle East, which have heightened, and may continue to heighten, existing economic uncertainty and contribute to increases in mortgage rates, higher energy prices, and other adverse macroeconomic pressures;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inaccurate estimates related to homes to be delivered in the future (backlog), as they are subject to various cancellation risks that cannot be fully controlled;</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 xml:space="preserve">factors affecting margins, such as adjustments to home pricing, increased sales incentives and mortgage rate buy down programs in order to remain competitive;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 xml:space="preserve">decreased revenues;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 xml:space="preserve">decreased land values underlying land option agreements;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 xml:space="preserve">increased land development costs in communities under development or delays or difficulties in implementing initiatives to reduce our cycle times and production and overhead cost structures;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not being able to pass on cost increases (including cost increases due to increasing the energy efficiency of our homes) through pricing increases;</w:t>
      </w:r>
    </w:p>
    <w:p>
      <w:pPr>
        <w:pStyle w:val="TextBody"/>
        <w:bidi w:val="0"/>
        <w:spacing w:lineRule="auto" w:line="288"/>
        <w:ind w:left="0" w:right="0" w:hanging="360"/>
        <w:jc w:val="both"/>
        <w:rPr/>
      </w:pPr>
      <w:r>
        <w:rPr>
          <w:color w:val="000000"/>
        </w:rPr>
        <w:t>•</w:t>
      </w:r>
      <w:r>
        <w:rPr>
          <w:rFonts w:ascii="Times New Roman;serif" w:hAnsi="Times New Roman;serif"/>
          <w:b w:val="false"/>
          <w:i/>
          <w:color w:val="000000"/>
          <w:sz w:val="20"/>
          <w:shd w:fill="FFFFFF" w:val="clear"/>
        </w:rPr>
        <w:t>the availability and cost of land and the risks associated with the future value</w:t>
      </w:r>
      <w:r>
        <w:rPr>
          <w:color w:val="000000"/>
        </w:rPr>
        <w:t xml:space="preserve"> </w:t>
      </w:r>
      <w:r>
        <w:rPr>
          <w:rFonts w:ascii="Times New Roman;serif" w:hAnsi="Times New Roman;serif"/>
          <w:b w:val="false"/>
          <w:i/>
          <w:color w:val="000000"/>
          <w:sz w:val="20"/>
        </w:rPr>
        <w:t>of our inventory, including impairments and abandonment charges;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our ability to raise debt and/or equity capital, due to factors such as limitations in the capital markets (including market volatility), adverse credit market conditions and financial institution disruptions, and our ability to otherwise meet our ongoing liquidity needs (which could cause us to fail to meet the terms of our covenants and other requirements under our various debt instruments and therefore trigger an acceleration of a significant portion or all of our outstanding debt obligations), including the impact of any downgrades of our credit ratings or reduction in our liquidity levels;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shd w:fill="FFFFFF" w:val="clear"/>
        </w:rPr>
        <w:t>market perceptions regarding any capital raising initiatives we may undertake (including future issuances of equity or debt capital);</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shd w:fill="FFFFFF" w:val="clear"/>
        </w:rPr>
        <w:t>inefficient or ineffective allocation of capital, including with respect to planned share repurchases;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shd w:fill="FFFFFF" w:val="clear"/>
        </w:rPr>
        <w:t>market conditions and other factors outside our control that adversely impact our ability to execute on our planned share repurchases or asset sales;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changes in tax laws, such as the One Big Beautiful Bill Act (OBBBA), or otherwise regarding the deductibility of mortgage interest expenses and real estate taxes, including those resulting from regulatory guidance and interpretations issued with respect thereto, such as the IRS's guidance regarding heightened qualification requirements for federal credits for building energy-efficient homes;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increased competition or delays in reacting to changing consumer preferences in home design;</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natural disasters, severe weather, or other related events that could result in delays in land development or home construction, increase our costs or decrease demand in the impacted areas;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shortages of or increased costs for labor used in housing production, including as a result of federal or state legislation, and/or enforcement, and the level of quality and craftsmanship provided by such labor;</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the potential recoverability of our deferred tax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potential delays or increased costs in obtaining necessary permits as a result of changes to, or complying with, laws, regulations or governmental policies, and possible penalties for failure to comply with such laws, regulations or governmental policies, including those related to the environment;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the results of litigation or government proceedings and fulfillment of any related obligations;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the impact of construction defect and home warranty claims;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the cost and availability of insurance and surety bonds, as well as the sufficiency of these instruments to cover potential losses incurred;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the impact of information technology failures, cybersecurity issues or data security breaches, including cybersecurity incidents deploying evolving artificial intelligence tools and incidents impacting third-party service providers that we depend on to conduct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the impact of governmental regulations on homebuilding in key markets, such as regulations limiting the availability of water and electricity (including availability of electrical equipment such as transformers and meters);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the success of our sustainability initiatives, as well as the success of any other related partnerships or pilot programs we may enter into in order to increase the energy efficiency of our homes.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Any forward-looking statement, including any statement expressing confidence regarding future outcomes, speaks only as of the date on which such statement is made and, except as required by law, we undertake no obligation to update any forward-looking statement to reflect events or circumstances after the date on which such statement is made or to reflect the occurrence of unanticipated events. New factors emerge from time to time, and it is not possible to predict all such factors.</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4"/>
        </w:rPr>
      </w:pPr>
      <w:r>
        <w:rPr>
          <w:rFonts w:ascii="Times New Roman;serif" w:hAnsi="Times New Roman;serif"/>
          <w:b w:val="false"/>
          <w:color w:val="000000"/>
          <w:sz w:val="24"/>
        </w:rPr>
        <w:t>CONTACT: Beazer Homes USA, Inc.</w:t>
      </w:r>
    </w:p>
    <w:p>
      <w:pPr>
        <w:pStyle w:val="TextBody"/>
        <w:bidi w:val="0"/>
        <w:spacing w:lineRule="auto" w:line="288" w:before="180" w:after="283"/>
        <w:jc w:val="left"/>
        <w:rPr>
          <w:rFonts w:ascii="Times New Roman;serif" w:hAnsi="Times New Roman;serif"/>
          <w:b w:val="false"/>
          <w:color w:val="000000"/>
          <w:sz w:val="24"/>
        </w:rPr>
      </w:pPr>
      <w:r>
        <w:rPr>
          <w:rFonts w:ascii="Times New Roman;serif" w:hAnsi="Times New Roman;serif"/>
          <w:b w:val="false"/>
          <w:color w:val="000000"/>
          <w:sz w:val="24"/>
        </w:rPr>
        <w:t>David I. Goldberg</w:t>
      </w:r>
    </w:p>
    <w:p>
      <w:pPr>
        <w:pStyle w:val="TextBody"/>
        <w:bidi w:val="0"/>
        <w:spacing w:lineRule="auto" w:line="288" w:before="0" w:after="0"/>
        <w:jc w:val="left"/>
        <w:rPr/>
      </w:pPr>
      <w:r>
        <w:rPr>
          <w:rFonts w:ascii="Times New Roman;serif" w:hAnsi="Times New Roman;serif"/>
          <w:b w:val="false"/>
          <w:color w:val="000000"/>
          <w:sz w:val="24"/>
        </w:rPr>
        <w:t>Sr. Vice President &amp; Chief Financial Officer</w:t>
      </w:r>
      <w:r>
        <w:rPr>
          <w:color w:val="444444"/>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770-829-3700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Mark Chekanow, CFA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Vice President, Investor Relations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917-365-0085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6EBF"/>
          <w:sz w:val="24"/>
          <w:u w:val="single"/>
        </w:rPr>
      </w:pPr>
      <w:r>
        <w:rPr>
          <w:rFonts w:ascii="Times New Roman;serif" w:hAnsi="Times New Roman;serif"/>
          <w:b/>
          <w:color w:val="006EBF"/>
          <w:sz w:val="24"/>
          <w:u w:val="single"/>
        </w:rPr>
        <w:t>investor.relations@beazer.com</w:t>
      </w:r>
    </w:p>
    <w:p>
      <w:pPr>
        <w:pStyle w:val="TextBody"/>
        <w:bidi w:val="0"/>
        <w:spacing w:before="0" w:after="0"/>
        <w:jc w:val="left"/>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-Tables Follow-</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9569" w:type="dxa"/>
        <w:jc w:val="center"/>
        <w:tblInd w:w="0" w:type="dxa"/>
        <w:tblLayout w:type="fixed"/>
        <w:tblCellMar>
          <w:top w:w="28" w:type="dxa"/>
          <w:left w:w="28" w:type="dxa"/>
          <w:bottom w:w="28" w:type="dxa"/>
          <w:right w:w="28" w:type="dxa"/>
        </w:tblCellMar>
      </w:tblPr>
      <w:tblGrid>
        <w:gridCol w:w="1314"/>
        <w:gridCol w:w="1155"/>
        <w:gridCol w:w="1160"/>
        <w:gridCol w:w="211"/>
        <w:gridCol w:w="841"/>
        <w:gridCol w:w="109"/>
        <w:gridCol w:w="109"/>
        <w:gridCol w:w="109"/>
        <w:gridCol w:w="109"/>
        <w:gridCol w:w="211"/>
        <w:gridCol w:w="826"/>
        <w:gridCol w:w="109"/>
        <w:gridCol w:w="109"/>
        <w:gridCol w:w="109"/>
        <w:gridCol w:w="109"/>
        <w:gridCol w:w="211"/>
        <w:gridCol w:w="991"/>
        <w:gridCol w:w="109"/>
        <w:gridCol w:w="109"/>
        <w:gridCol w:w="109"/>
        <w:gridCol w:w="109"/>
        <w:gridCol w:w="211"/>
        <w:gridCol w:w="97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6"/>
              </w:rPr>
              <w:t>in thousands (except per share data)</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516,306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1,289,643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1,579,659 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construction and land sales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447,863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1,131,631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66,101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152,005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158,569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(62,176)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(60,101)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(37,728)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per share: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63"/>
        <w:gridCol w:w="1445"/>
        <w:gridCol w:w="1455"/>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6"/>
      </w:tblGrid>
      <w:tr>
        <w:trPr/>
        <w:tc>
          <w:tcPr>
            <w:tcW w:w="166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Capitalized Interest in Inventory</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in inventory,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147,786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131,845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124,182 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incurred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67,214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impaired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amortized to home construction and land sales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in inventory,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156,554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156,554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BEAZER HOMES USA,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15"/>
        <w:gridCol w:w="2101"/>
        <w:gridCol w:w="2108"/>
        <w:gridCol w:w="211"/>
        <w:gridCol w:w="991"/>
        <w:gridCol w:w="109"/>
        <w:gridCol w:w="109"/>
        <w:gridCol w:w="109"/>
        <w:gridCol w:w="109"/>
        <w:gridCol w:w="226"/>
        <w:gridCol w:w="1049"/>
        <w:gridCol w:w="168"/>
      </w:tblGrid>
      <w:tr>
        <w:trPr/>
        <w:tc>
          <w:tcPr>
            <w:tcW w:w="2915"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124,641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$260 and $266,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96,621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2,369,470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2,029,433 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166,191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55,262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2,904,750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2,609,708 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144,946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(net of debt issuance costs of $10,888 and $6,611,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1,409,132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1,757,760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1,360,802 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$0.01 per share, 5,000,000 shares authorized, no shares issued)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$0.001 per share, 63,000,000 shares authorized, 27,330,791 issued and outstanding and 29,762,293 issued and outstanding,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760,918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386,045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1,146,990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1,248,906 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2,904,750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2,609,708 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Inventory Breakdown</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 under construction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934,394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under development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1,054,354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held for future development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held for sale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87,542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156,554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Model homes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92,321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not owned under option agreements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2,369,470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2,029,433 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BEAZER HOMES USA,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OPERATING AND FINANCIAL DATA</w:t>
      </w:r>
    </w:p>
    <w:tbl>
      <w:tblPr>
        <w:tblW w:w="8233" w:type="dxa"/>
        <w:jc w:val="center"/>
        <w:tblInd w:w="0" w:type="dxa"/>
        <w:tblLayout w:type="fixed"/>
        <w:tblCellMar>
          <w:top w:w="28" w:type="dxa"/>
          <w:left w:w="28" w:type="dxa"/>
          <w:bottom w:w="28" w:type="dxa"/>
          <w:right w:w="28" w:type="dxa"/>
        </w:tblCellMar>
      </w:tblPr>
      <w:tblGrid>
        <w:gridCol w:w="1077"/>
        <w:gridCol w:w="945"/>
        <w:gridCol w:w="948"/>
        <w:gridCol w:w="251"/>
        <w:gridCol w:w="251"/>
        <w:gridCol w:w="251"/>
        <w:gridCol w:w="251"/>
        <w:gridCol w:w="251"/>
        <w:gridCol w:w="251"/>
        <w:gridCol w:w="331"/>
        <w:gridCol w:w="285"/>
        <w:gridCol w:w="251"/>
        <w:gridCol w:w="109"/>
        <w:gridCol w:w="109"/>
        <w:gridCol w:w="109"/>
        <w:gridCol w:w="415"/>
        <w:gridCol w:w="235"/>
        <w:gridCol w:w="235"/>
        <w:gridCol w:w="235"/>
        <w:gridCol w:w="235"/>
        <w:gridCol w:w="235"/>
        <w:gridCol w:w="405"/>
        <w:gridCol w:w="235"/>
        <w:gridCol w:w="333"/>
      </w:tblGrid>
      <w:tr>
        <w:trPr/>
        <w:tc>
          <w:tcPr>
            <w:tcW w:w="107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SELECTED OPERATING DATA</w:t>
            </w:r>
          </w:p>
        </w:tc>
        <w:tc>
          <w:tcPr>
            <w:tcW w:w="75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Closings:</w:t>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region</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1,422</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 region</w:t>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525</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 region</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closings</w:t>
            </w:r>
          </w:p>
        </w:tc>
        <w:tc>
          <w:tcPr>
            <w:tcW w:w="5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896</w:t>
            </w:r>
            <w:r>
              <w:rPr>
                <w:color w:val="000000"/>
              </w:rPr>
              <w:t>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2,353</w:t>
            </w:r>
            <w:r>
              <w:rPr>
                <w:color w:val="000000"/>
              </w:rPr>
              <w:t>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orders, net of cancellations:</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region</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520</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1,577</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 region</w:t>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645</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 region</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orders, net</w:t>
            </w:r>
          </w:p>
        </w:tc>
        <w:tc>
          <w:tcPr>
            <w:tcW w:w="50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900</w:t>
            </w:r>
            <w:r>
              <w:rPr>
                <w:color w:val="000000"/>
              </w:rPr>
              <w:t>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2,711</w:t>
            </w:r>
            <w:r>
              <w:rPr>
                <w:color w:val="000000"/>
              </w:rPr>
              <w:t>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310" w:type="dxa"/>
        <w:jc w:val="center"/>
        <w:tblInd w:w="0" w:type="dxa"/>
        <w:tblLayout w:type="fixed"/>
        <w:tblCellMar>
          <w:top w:w="28" w:type="dxa"/>
          <w:left w:w="28" w:type="dxa"/>
          <w:bottom w:w="28" w:type="dxa"/>
          <w:right w:w="28" w:type="dxa"/>
        </w:tblCellMar>
      </w:tblPr>
      <w:tblGrid>
        <w:gridCol w:w="1708"/>
        <w:gridCol w:w="1504"/>
        <w:gridCol w:w="1512"/>
        <w:gridCol w:w="109"/>
        <w:gridCol w:w="109"/>
        <w:gridCol w:w="109"/>
        <w:gridCol w:w="211"/>
        <w:gridCol w:w="631"/>
        <w:gridCol w:w="109"/>
        <w:gridCol w:w="109"/>
        <w:gridCol w:w="109"/>
        <w:gridCol w:w="109"/>
        <w:gridCol w:w="211"/>
        <w:gridCol w:w="616"/>
        <w:gridCol w:w="154"/>
      </w:tblGrid>
      <w:tr>
        <w:trPr/>
        <w:tc>
          <w:tcPr>
            <w:tcW w:w="170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Backlog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region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 region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 region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backlog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dollar value of homes in backlog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758.5</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ASP in backlog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374" w:type="dxa"/>
        <w:jc w:val="center"/>
        <w:tblInd w:w="0" w:type="dxa"/>
        <w:tblLayout w:type="fixed"/>
        <w:tblCellMar>
          <w:top w:w="28" w:type="dxa"/>
          <w:left w:w="28" w:type="dxa"/>
          <w:bottom w:w="28" w:type="dxa"/>
          <w:right w:w="28" w:type="dxa"/>
        </w:tblCellMar>
      </w:tblPr>
      <w:tblGrid>
        <w:gridCol w:w="1242"/>
        <w:gridCol w:w="1092"/>
        <w:gridCol w:w="1100"/>
        <w:gridCol w:w="211"/>
        <w:gridCol w:w="841"/>
        <w:gridCol w:w="109"/>
        <w:gridCol w:w="109"/>
        <w:gridCol w:w="109"/>
        <w:gridCol w:w="109"/>
        <w:gridCol w:w="211"/>
        <w:gridCol w:w="826"/>
        <w:gridCol w:w="109"/>
        <w:gridCol w:w="109"/>
        <w:gridCol w:w="109"/>
        <w:gridCol w:w="109"/>
        <w:gridCol w:w="211"/>
        <w:gridCol w:w="991"/>
        <w:gridCol w:w="109"/>
        <w:gridCol w:w="109"/>
        <w:gridCol w:w="109"/>
        <w:gridCol w:w="109"/>
        <w:gridCol w:w="211"/>
        <w:gridCol w:w="97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FINANCIAL DATA</w:t>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Homebuilding revenue:</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region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277,527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729,021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 region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290,097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 region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229,242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homebuilding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490,870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1,248,360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1,551,844 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490,870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1,248,360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sales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516,306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1,289,643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1,579,659 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66,623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151,678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sales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66,101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152,005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230,656 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Reconciliation of homebuilding gross profit and homebuilding gross margin (GAAP measures) to homebuilding gross profit and the related gross margin excluding impairments and abandonments and interest amortized to cost of sales (non-GAAP measures) is provided for each period discussed below. Management believes that this information assists investors in comparing the operating characteristics of homebuilding activities by eliminating many of the differences in companies' respective level of impairments and level of debt. These non-GAAP financial measures may not be comparable to other similarly titled measures of other companies and should not be considered in isolation or as a substitute for, or superior to, financial measures prepared in accordance with GAAP. </w:t>
      </w:r>
    </w:p>
    <w:tbl>
      <w:tblPr>
        <w:tblW w:w="10205" w:type="dxa"/>
        <w:jc w:val="center"/>
        <w:tblInd w:w="0" w:type="dxa"/>
        <w:tblLayout w:type="fixed"/>
        <w:tblCellMar>
          <w:top w:w="28" w:type="dxa"/>
          <w:left w:w="28" w:type="dxa"/>
          <w:bottom w:w="28" w:type="dxa"/>
          <w:right w:w="28" w:type="dxa"/>
        </w:tblCellMar>
      </w:tblPr>
      <w:tblGrid>
        <w:gridCol w:w="562"/>
        <w:gridCol w:w="494"/>
        <w:gridCol w:w="499"/>
        <w:gridCol w:w="211"/>
        <w:gridCol w:w="736"/>
        <w:gridCol w:w="109"/>
        <w:gridCol w:w="263"/>
        <w:gridCol w:w="263"/>
        <w:gridCol w:w="301"/>
        <w:gridCol w:w="109"/>
        <w:gridCol w:w="109"/>
        <w:gridCol w:w="109"/>
        <w:gridCol w:w="211"/>
        <w:gridCol w:w="721"/>
        <w:gridCol w:w="109"/>
        <w:gridCol w:w="255"/>
        <w:gridCol w:w="256"/>
        <w:gridCol w:w="271"/>
        <w:gridCol w:w="109"/>
        <w:gridCol w:w="109"/>
        <w:gridCol w:w="109"/>
        <w:gridCol w:w="211"/>
        <w:gridCol w:w="841"/>
        <w:gridCol w:w="109"/>
        <w:gridCol w:w="263"/>
        <w:gridCol w:w="263"/>
        <w:gridCol w:w="301"/>
        <w:gridCol w:w="109"/>
        <w:gridCol w:w="109"/>
        <w:gridCol w:w="109"/>
        <w:gridCol w:w="211"/>
        <w:gridCol w:w="826"/>
        <w:gridCol w:w="109"/>
        <w:gridCol w:w="255"/>
        <w:gridCol w:w="256"/>
        <w:gridCol w:w="318"/>
      </w:tblGrid>
      <w:tr>
        <w:trPr/>
        <w:tc>
          <w:tcPr>
            <w:tcW w:w="56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88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profit/margin (GAAP)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66,623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151,678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impairments and abandonments (I&amp;A)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profit/margin excluding I&amp;A (Non-GAAP)</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66,623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154,298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amortized to cost of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profit/margin excluding I&amp;A and interest amortized to cost of sales (Non-GAAP)</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82,726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195,242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Reconciliation of Net (Loss) Income (GAAP measure) to Adjusted EBITDA (Non-GAAP measure) is provided for each period discussed below. Management believes that Adjusted EBITDA assists investors in understanding and comparing core operating results and underlying business trends by eliminating many of the differences in companies' respective capitalization, tax position, level of impairments, and other non-recurring items. This non-GAAP financial measure may not be comparable to other similarly titled measures of other companies and should not be considered in isolation or as a substitute for, or superior to, financial measures prepared in accordance with GAAP.</w:t>
      </w:r>
    </w:p>
    <w:tbl>
      <w:tblPr>
        <w:tblW w:w="10205" w:type="dxa"/>
        <w:jc w:val="left"/>
        <w:tblInd w:w="0" w:type="dxa"/>
        <w:tblLayout w:type="fixed"/>
        <w:tblCellMar>
          <w:top w:w="28" w:type="dxa"/>
          <w:left w:w="28" w:type="dxa"/>
          <w:bottom w:w="28" w:type="dxa"/>
          <w:right w:w="28" w:type="dxa"/>
        </w:tblCellMar>
      </w:tblPr>
      <w:tblGrid>
        <w:gridCol w:w="1025"/>
        <w:gridCol w:w="439"/>
        <w:gridCol w:w="441"/>
        <w:gridCol w:w="211"/>
        <w:gridCol w:w="736"/>
        <w:gridCol w:w="109"/>
        <w:gridCol w:w="109"/>
        <w:gridCol w:w="109"/>
        <w:gridCol w:w="109"/>
        <w:gridCol w:w="211"/>
        <w:gridCol w:w="721"/>
        <w:gridCol w:w="109"/>
        <w:gridCol w:w="109"/>
        <w:gridCol w:w="109"/>
        <w:gridCol w:w="109"/>
        <w:gridCol w:w="211"/>
        <w:gridCol w:w="740"/>
        <w:gridCol w:w="109"/>
        <w:gridCol w:w="109"/>
        <w:gridCol w:w="109"/>
        <w:gridCol w:w="109"/>
        <w:gridCol w:w="211"/>
        <w:gridCol w:w="721"/>
        <w:gridCol w:w="109"/>
        <w:gridCol w:w="109"/>
        <w:gridCol w:w="109"/>
        <w:gridCol w:w="109"/>
        <w:gridCol w:w="211"/>
        <w:gridCol w:w="736"/>
        <w:gridCol w:w="109"/>
        <w:gridCol w:w="109"/>
        <w:gridCol w:w="109"/>
        <w:gridCol w:w="109"/>
        <w:gridCol w:w="211"/>
        <w:gridCol w:w="826"/>
        <w:gridCol w:w="109"/>
        <w:gridCol w:w="109"/>
        <w:gridCol w:w="156"/>
      </w:tblGrid>
      <w:tr>
        <w:trPr/>
        <w:tc>
          <w:tcPr>
            <w:tcW w:w="102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LTM Ended June 30,</w:t>
            </w:r>
            <w:r>
              <w:rPr>
                <w:rFonts w:ascii="Times New Roman;serif" w:hAnsi="Times New Roman;serif"/>
                <w:b/>
                <w:color w:val="000000"/>
                <w:sz w:val="10"/>
              </w:rPr>
              <w:t>(a)</w:t>
            </w:r>
          </w:p>
        </w:tc>
        <w:tc>
          <w:tcPr>
            <w:tcW w:w="265" w:type="dxa"/>
            <w:gridSpan w:val="2"/>
            <w:tcBorders/>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(37,728)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expense from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amortized to home construction and land sales expenses and capitalized interest impaired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70,729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 (Non-GAAP)</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6,189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(Non-GAAP)</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11,113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55,595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Inventory impairments and abandonments</w:t>
            </w:r>
            <w:r>
              <w:rPr>
                <w:rFonts w:ascii="Times New Roman;serif" w:hAnsi="Times New Roman;serif"/>
                <w:b w:val="false"/>
                <w:color w:val="000000"/>
                <w:sz w:val="13"/>
              </w:rPr>
              <w:t>(b)</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(Non-GAAP)</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15,642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70,740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"LTM" indicates amounts for the trailing 12 months.</w:t>
      </w:r>
    </w:p>
    <w:p>
      <w:pPr>
        <w:pStyle w:val="TextBody"/>
        <w:bidi w:val="0"/>
        <w:spacing w:lineRule="auto" w:line="288" w:before="120" w:after="283"/>
        <w:ind w:left="0" w:right="0" w:hanging="18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20"/>
        </w:rPr>
        <w:t>In periods during which we impaired certain of our inventory assets, capitalized interest that is impaired is included in the line above titled "Interest amortized to home construction and land sales expenses and capitalized interest impaired."</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Reconciliation of total debt to total capitalization ratio (GAAP measure) to net debt to net capitalization ratio (non-GAAP measure) is provided for each period below. Management believes that net debt to net capitalization ratio is useful in understanding the leverage employed in our operations and as an indicator of our ability to obtain financing. This non-GAAP financial measure may not be comparable to other similarly titled measures of other companies and should not be considered in isolation or as a substitute for, or superior to, financial measures prepared in accordance with GAAP.</w:t>
      </w:r>
    </w:p>
    <w:tbl>
      <w:tblPr>
        <w:tblW w:w="7422" w:type="dxa"/>
        <w:jc w:val="left"/>
        <w:tblInd w:w="0" w:type="dxa"/>
        <w:tblLayout w:type="fixed"/>
        <w:tblCellMar>
          <w:top w:w="28" w:type="dxa"/>
          <w:left w:w="28" w:type="dxa"/>
          <w:bottom w:w="28" w:type="dxa"/>
          <w:right w:w="28" w:type="dxa"/>
        </w:tblCellMar>
      </w:tblPr>
      <w:tblGrid>
        <w:gridCol w:w="1445"/>
        <w:gridCol w:w="1270"/>
        <w:gridCol w:w="1275"/>
        <w:gridCol w:w="217"/>
        <w:gridCol w:w="1019"/>
        <w:gridCol w:w="309"/>
        <w:gridCol w:w="109"/>
        <w:gridCol w:w="109"/>
        <w:gridCol w:w="109"/>
        <w:gridCol w:w="219"/>
        <w:gridCol w:w="1013"/>
        <w:gridCol w:w="328"/>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June 30, 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(GAAP)</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1,409,132</w:t>
            </w:r>
            <w:r>
              <w:rPr>
                <w:color w:val="000000"/>
              </w:rPr>
              <w:t>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1,143,173 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(GAAP)</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1,146,990</w:t>
            </w: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1,217,031 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 (GAAP)</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2,556,122</w:t>
            </w:r>
            <w:r>
              <w:rPr>
                <w:color w:val="000000"/>
              </w:rPr>
              <w:t>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2,360,204 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to total capitalization ratio (GAAP)</w:t>
            </w:r>
          </w:p>
        </w:tc>
        <w:tc>
          <w:tcPr>
            <w:tcW w:w="12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w:t>
            </w:r>
            <w:r>
              <w:rPr>
                <w:color w:val="000000"/>
              </w:rPr>
              <w:t> </w:t>
            </w:r>
          </w:p>
        </w:tc>
        <w:tc>
          <w:tcPr>
            <w:tcW w:w="30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3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(GAAP)</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1,409,132</w:t>
            </w: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1,143,173 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 (GAAP)</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124,641</w:t>
            </w: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(Non-GAAP)</w:t>
            </w:r>
          </w:p>
        </w:tc>
        <w:tc>
          <w:tcPr>
            <w:tcW w:w="12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1,284,491</w:t>
            </w:r>
            <w:r>
              <w:rPr>
                <w:color w:val="000000"/>
              </w:rPr>
              <w:t> </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1,060,241 </w:t>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(GAAP)</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1,146,990</w:t>
            </w: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1,217,031 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capitalization (Non-GAAP)</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2,431,481</w:t>
            </w:r>
            <w:r>
              <w:rPr>
                <w:color w:val="000000"/>
              </w:rPr>
              <w:t> </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2,277,272 </w:t>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to net capitalization ratio (Non-GAAP)</w:t>
            </w:r>
          </w:p>
        </w:tc>
        <w:tc>
          <w:tcPr>
            <w:tcW w:w="123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w:t>
            </w:r>
            <w:r>
              <w:rPr>
                <w:color w:val="000000"/>
              </w:rPr>
              <w:t> </w:t>
            </w:r>
          </w:p>
        </w:tc>
        <w:tc>
          <w:tcPr>
            <w:tcW w:w="3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32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20" w:after="283"/>
        <w:jc w:val="left"/>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5530</Words>
  <Characters>30639</Characters>
  <CharactersWithSpaces>35463</CharactersWithSpaces>
  <Paragraphs>1146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