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 (d)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 (d)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001-12822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 </w:t>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58-2086934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6265" w:type="dxa"/>
        <w:jc w:val="left"/>
        <w:tblInd w:w="0" w:type="dxa"/>
        <w:tblLayout w:type="fixed"/>
        <w:tblCellMar>
          <w:top w:w="28" w:type="dxa"/>
          <w:left w:w="28" w:type="dxa"/>
          <w:bottom w:w="28" w:type="dxa"/>
          <w:right w:w="28" w:type="dxa"/>
        </w:tblCellMar>
      </w:tblPr>
      <w:tblGrid>
        <w:gridCol w:w="1815"/>
        <w:gridCol w:w="1595"/>
        <w:gridCol w:w="1599"/>
        <w:gridCol w:w="109"/>
        <w:gridCol w:w="109"/>
        <w:gridCol w:w="109"/>
        <w:gridCol w:w="272"/>
        <w:gridCol w:w="272"/>
        <w:gridCol w:w="385"/>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2002 Summit Boulevard NE, 15th Floor, Atlanta, Georgia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30319</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(770) 829-3700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BZH</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w:t>
      </w:r>
    </w:p>
    <w:p>
      <w:pPr>
        <w:pStyle w:val="TextBody"/>
        <w:bidi w:val="0"/>
        <w:spacing w:lineRule="auto" w:line="288" w:before="280" w:after="283"/>
        <w:jc w:val="left"/>
        <w:rPr/>
      </w:pPr>
      <w:r>
        <w:rPr>
          <w:rFonts w:ascii="Times New Roman;serif" w:hAnsi="Times New Roman;serif"/>
          <w:b w:val="false"/>
          <w:color w:val="000000"/>
          <w:sz w:val="20"/>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the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86"/>
        <w:gridCol w:w="516"/>
        <w:gridCol w:w="517"/>
        <w:gridCol w:w="130"/>
        <w:gridCol w:w="130"/>
        <w:gridCol w:w="130"/>
        <w:gridCol w:w="479"/>
        <w:gridCol w:w="479"/>
        <w:gridCol w:w="480"/>
        <w:gridCol w:w="130"/>
        <w:gridCol w:w="130"/>
        <w:gridCol w:w="130"/>
        <w:gridCol w:w="623"/>
        <w:gridCol w:w="623"/>
        <w:gridCol w:w="624"/>
        <w:gridCol w:w="130"/>
        <w:gridCol w:w="130"/>
        <w:gridCol w:w="130"/>
        <w:gridCol w:w="549"/>
        <w:gridCol w:w="549"/>
        <w:gridCol w:w="551"/>
        <w:gridCol w:w="130"/>
        <w:gridCol w:w="130"/>
        <w:gridCol w:w="130"/>
        <w:gridCol w:w="560"/>
        <w:gridCol w:w="560"/>
        <w:gridCol w:w="562"/>
        <w:gridCol w:w="109"/>
        <w:gridCol w:w="109"/>
        <w:gridCol w:w="169"/>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18"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shd w:fill="FFFFFF" w:val="clear"/>
        </w:rPr>
        <w:t>Number of shares of common stock outstanding as of April 27, 2026:</w:t>
      </w:r>
      <w:r>
        <w:rPr>
          <w:color w:val="000000"/>
        </w:rPr>
        <w:t xml:space="preserve"> </w:t>
      </w:r>
      <w:r>
        <w:rPr>
          <w:rFonts w:ascii="Times New Roman;serif" w:hAnsi="Times New Roman;serif"/>
          <w:b w:val="false"/>
          <w:color w:val="000000"/>
          <w:sz w:val="20"/>
        </w:rPr>
        <w:t>27,333,825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bookmarkStart w:id="0" w:name="i404f0a8fb2c74a929d9d356daf7cc3d4_49"/>
      <w:bookmarkStart w:id="1" w:name="i404f0a8fb2c74a929d9d356daf7cc3d4_48"/>
      <w:bookmarkEnd w:id="0"/>
      <w:bookmarkEnd w:id="1"/>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62"/>
        <w:gridCol w:w="3128"/>
        <w:gridCol w:w="3142"/>
        <w:gridCol w:w="109"/>
        <w:gridCol w:w="109"/>
        <w:gridCol w:w="155"/>
      </w:tblGrid>
      <w:tr>
        <w:trPr/>
        <w:tc>
          <w:tcPr>
            <w:tcW w:w="3562"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0">
              <w:r>
                <w:rPr>
                  <w:rStyle w:val="InternetLink"/>
                  <w:rFonts w:ascii="Times New Roman;serif" w:hAnsi="Times New Roman;serif"/>
                  <w:b/>
                  <w:color w:val="0000FF"/>
                  <w:sz w:val="20"/>
                  <w:u w:val="single"/>
                </w:rPr>
                <w:t>PART I. 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0">
              <w:r>
                <w:rPr>
                  <w:rStyle w:val="InternetLink"/>
                  <w:rFonts w:ascii="Times New Roman;serif" w:hAnsi="Times New Roman;serif"/>
                  <w:b/>
                  <w:color w:val="0000FF"/>
                  <w:sz w:val="20"/>
                  <w:u w:val="single"/>
                </w:rPr>
                <w:t>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3">
              <w:r>
                <w:rPr>
                  <w:rStyle w:val="InternetLink"/>
                  <w:rFonts w:ascii="Times New Roman;serif" w:hAnsi="Times New Roman;serif"/>
                  <w:b/>
                  <w:color w:val="0000FF"/>
                  <w:sz w:val="20"/>
                  <w:u w:val="single"/>
                </w:rPr>
                <w:t>Item 1.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3">
              <w:r>
                <w:rPr>
                  <w:rStyle w:val="InternetLink"/>
                  <w:rFonts w:ascii="Times New Roman;serif" w:hAnsi="Times New Roman;serif"/>
                  <w:b/>
                  <w:color w:val="0000FF"/>
                  <w:sz w:val="20"/>
                  <w:u w:val="single"/>
                </w:rPr>
                <w:t>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3">
              <w:r>
                <w:rPr>
                  <w:rStyle w:val="InternetLink"/>
                  <w:rFonts w:ascii="Times New Roman;serif" w:hAnsi="Times New Roman;serif"/>
                  <w:b/>
                  <w:color w:val="000080"/>
                  <w:sz w:val="20"/>
                  <w:u w:val="single"/>
                </w:rPr>
                <w:t xml:space="preserve">Condensed Consolidated Balance Sheets as of </w:t>
              </w:r>
            </w:hyperlink>
            <w:hyperlink w:anchor="icc83763103cd4ed18e1f4763d7ab10d2_13">
              <w:r>
                <w:rPr>
                  <w:rStyle w:val="InternetLink"/>
                  <w:rFonts w:ascii="Times New Roman;serif" w:hAnsi="Times New Roman;serif"/>
                  <w:b/>
                  <w:color w:val="000080"/>
                  <w:sz w:val="20"/>
                  <w:u w:val="single"/>
                </w:rPr>
                <w:t>March</w:t>
              </w:r>
            </w:hyperlink>
            <w:hyperlink w:anchor="icc83763103cd4ed18e1f4763d7ab10d2_13">
              <w:r>
                <w:rPr>
                  <w:rStyle w:val="InternetLink"/>
                  <w:rFonts w:ascii="Times New Roman;serif" w:hAnsi="Times New Roman;serif"/>
                  <w:b/>
                  <w:color w:val="000080"/>
                  <w:sz w:val="20"/>
                  <w:u w:val="single"/>
                </w:rPr>
                <w:t xml:space="preserve"> 31, 202</w:t>
              </w:r>
            </w:hyperlink>
            <w:hyperlink w:anchor="icc83763103cd4ed18e1f4763d7ab10d2_13">
              <w:r>
                <w:rPr>
                  <w:rStyle w:val="InternetLink"/>
                  <w:rFonts w:ascii="Times New Roman;serif" w:hAnsi="Times New Roman;serif"/>
                  <w:b/>
                  <w:color w:val="000080"/>
                  <w:sz w:val="20"/>
                  <w:u w:val="single"/>
                </w:rPr>
                <w:t>6</w:t>
              </w:r>
            </w:hyperlink>
            <w:hyperlink w:anchor="icc83763103cd4ed18e1f4763d7ab10d2_13">
              <w:r>
                <w:rPr>
                  <w:rStyle w:val="InternetLink"/>
                  <w:rFonts w:ascii="Times New Roman;serif" w:hAnsi="Times New Roman;serif"/>
                  <w:b/>
                  <w:color w:val="000080"/>
                  <w:sz w:val="20"/>
                  <w:u w:val="single"/>
                </w:rPr>
                <w:t xml:space="preserve"> and September 30, 2025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6">
              <w:r>
                <w:rPr>
                  <w:rStyle w:val="InternetLink"/>
                  <w:rFonts w:ascii="Times New Roman;serif" w:hAnsi="Times New Roman;serif"/>
                  <w:b/>
                  <w:color w:val="0000FF"/>
                  <w:sz w:val="20"/>
                  <w:u w:val="single"/>
                </w:rPr>
                <w:t>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60" w:after="60"/>
              <w:jc w:val="left"/>
              <w:rPr/>
            </w:pPr>
            <w:hyperlink w:anchor="icc83763103cd4ed18e1f4763d7ab10d2_19">
              <w:r>
                <w:rPr>
                  <w:rStyle w:val="InternetLink"/>
                  <w:rFonts w:ascii="Times New Roman;serif" w:hAnsi="Times New Roman;serif"/>
                  <w:b/>
                  <w:color w:val="000080"/>
                  <w:sz w:val="20"/>
                  <w:u w:val="single"/>
                </w:rPr>
                <w:t xml:space="preserve">Condensed Consolidated Statements of Operations for the three </w:t>
              </w:r>
            </w:hyperlink>
            <w:hyperlink w:anchor="icc83763103cd4ed18e1f4763d7ab10d2_19">
              <w:r>
                <w:rPr>
                  <w:rStyle w:val="InternetLink"/>
                  <w:rFonts w:ascii="Times New Roman;serif" w:hAnsi="Times New Roman;serif"/>
                  <w:b/>
                  <w:color w:val="000080"/>
                  <w:sz w:val="20"/>
                  <w:u w:val="single"/>
                </w:rPr>
                <w:t xml:space="preserve">and six </w:t>
              </w:r>
            </w:hyperlink>
            <w:hyperlink w:anchor="icc83763103cd4ed18e1f4763d7ab10d2_19">
              <w:r>
                <w:rPr>
                  <w:rStyle w:val="InternetLink"/>
                  <w:rFonts w:ascii="Times New Roman;serif" w:hAnsi="Times New Roman;serif"/>
                  <w:b/>
                  <w:color w:val="000080"/>
                  <w:sz w:val="20"/>
                  <w:u w:val="single"/>
                </w:rPr>
                <w:t xml:space="preserve">months ended </w:t>
              </w:r>
            </w:hyperlink>
            <w:hyperlink w:anchor="icc83763103cd4ed18e1f4763d7ab10d2_19">
              <w:r>
                <w:rPr>
                  <w:rStyle w:val="InternetLink"/>
                  <w:rFonts w:ascii="Times New Roman;serif" w:hAnsi="Times New Roman;serif"/>
                  <w:b/>
                  <w:color w:val="000080"/>
                  <w:sz w:val="20"/>
                  <w:u w:val="single"/>
                </w:rPr>
                <w:t>March</w:t>
              </w:r>
            </w:hyperlink>
            <w:hyperlink w:anchor="icc83763103cd4ed18e1f4763d7ab10d2_19">
              <w:r>
                <w:rPr>
                  <w:rStyle w:val="InternetLink"/>
                  <w:rFonts w:ascii="Times New Roman;serif" w:hAnsi="Times New Roman;serif"/>
                  <w:b/>
                  <w:color w:val="000080"/>
                  <w:sz w:val="20"/>
                  <w:u w:val="single"/>
                </w:rPr>
                <w:t xml:space="preserve"> 31, 202</w:t>
              </w:r>
            </w:hyperlink>
            <w:hyperlink w:anchor="icc83763103cd4ed18e1f4763d7ab10d2_19">
              <w:r>
                <w:rPr>
                  <w:rStyle w:val="InternetLink"/>
                  <w:rFonts w:ascii="Times New Roman;serif" w:hAnsi="Times New Roman;serif"/>
                  <w:b/>
                  <w:color w:val="000080"/>
                  <w:sz w:val="20"/>
                  <w:u w:val="single"/>
                </w:rPr>
                <w:t>6</w:t>
              </w:r>
            </w:hyperlink>
            <w:hyperlink w:anchor="icc83763103cd4ed18e1f4763d7ab10d2_19">
              <w:r>
                <w:rPr>
                  <w:rStyle w:val="InternetLink"/>
                  <w:rFonts w:ascii="Times New Roman;serif" w:hAnsi="Times New Roman;serif"/>
                  <w:b/>
                  <w:color w:val="000080"/>
                  <w:sz w:val="20"/>
                  <w:u w:val="single"/>
                </w:rPr>
                <w:t xml:space="preserve"> and 202</w:t>
              </w:r>
            </w:hyperlink>
            <w:hyperlink w:anchor="icc83763103cd4ed18e1f4763d7ab10d2_19">
              <w:r>
                <w:rPr>
                  <w:rStyle w:val="InternetLink"/>
                  <w:rFonts w:ascii="Times New Roman;serif" w:hAnsi="Times New Roman;serif"/>
                  <w:b/>
                  <w:color w:val="000080"/>
                  <w:sz w:val="20"/>
                  <w:u w:val="single"/>
                </w:rPr>
                <w:t>5</w:t>
              </w:r>
            </w:hyperlink>
            <w:hyperlink w:anchor="icc83763103cd4ed18e1f4763d7ab10d2_19">
              <w:r>
                <w:rPr>
                  <w:rStyle w:val="InternetLink"/>
                  <w:rFonts w:ascii="Times New Roman;serif" w:hAnsi="Times New Roman;serif"/>
                  <w:b/>
                  <w:color w:val="000080"/>
                  <w:sz w:val="20"/>
                  <w:u w:val="single"/>
                </w:rPr>
                <w:t xml:space="preserve">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9">
              <w:r>
                <w:rPr>
                  <w:rStyle w:val="InternetLink"/>
                  <w:rFonts w:ascii="Times New Roman;serif" w:hAnsi="Times New Roman;serif"/>
                  <w:b/>
                  <w:color w:val="0000FF"/>
                  <w:sz w:val="20"/>
                  <w:u w:val="singl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60" w:after="60"/>
              <w:jc w:val="left"/>
              <w:rPr/>
            </w:pPr>
            <w:hyperlink w:anchor="icc83763103cd4ed18e1f4763d7ab10d2_22">
              <w:r>
                <w:rPr>
                  <w:rStyle w:val="InternetLink"/>
                  <w:rFonts w:ascii="Times New Roman;serif" w:hAnsi="Times New Roman;serif"/>
                  <w:b/>
                  <w:color w:val="000080"/>
                  <w:sz w:val="20"/>
                  <w:u w:val="single"/>
                </w:rPr>
                <w:t xml:space="preserve">Condensed Consolidated Statements of Stockholders' Equity for the three </w:t>
              </w:r>
            </w:hyperlink>
            <w:hyperlink w:anchor="icc83763103cd4ed18e1f4763d7ab10d2_22">
              <w:r>
                <w:rPr>
                  <w:rStyle w:val="InternetLink"/>
                  <w:rFonts w:ascii="Times New Roman;serif" w:hAnsi="Times New Roman;serif"/>
                  <w:b/>
                  <w:color w:val="000080"/>
                  <w:sz w:val="20"/>
                  <w:u w:val="single"/>
                </w:rPr>
                <w:t xml:space="preserve">and six </w:t>
              </w:r>
            </w:hyperlink>
            <w:hyperlink w:anchor="icc83763103cd4ed18e1f4763d7ab10d2_22">
              <w:r>
                <w:rPr>
                  <w:rStyle w:val="InternetLink"/>
                  <w:rFonts w:ascii="Times New Roman;serif" w:hAnsi="Times New Roman;serif"/>
                  <w:b/>
                  <w:color w:val="000080"/>
                  <w:sz w:val="20"/>
                  <w:u w:val="single"/>
                </w:rPr>
                <w:t xml:space="preserve">months ended </w:t>
              </w:r>
            </w:hyperlink>
            <w:hyperlink w:anchor="icc83763103cd4ed18e1f4763d7ab10d2_22">
              <w:r>
                <w:rPr>
                  <w:rStyle w:val="InternetLink"/>
                  <w:rFonts w:ascii="Times New Roman;serif" w:hAnsi="Times New Roman;serif"/>
                  <w:b/>
                  <w:color w:val="000080"/>
                  <w:sz w:val="20"/>
                  <w:u w:val="single"/>
                </w:rPr>
                <w:t>March</w:t>
              </w:r>
            </w:hyperlink>
            <w:hyperlink w:anchor="icc83763103cd4ed18e1f4763d7ab10d2_22">
              <w:r>
                <w:rPr>
                  <w:rStyle w:val="InternetLink"/>
                  <w:rFonts w:ascii="Times New Roman;serif" w:hAnsi="Times New Roman;serif"/>
                  <w:b/>
                  <w:color w:val="000080"/>
                  <w:sz w:val="20"/>
                  <w:u w:val="single"/>
                </w:rPr>
                <w:t xml:space="preserve"> 31, 202</w:t>
              </w:r>
            </w:hyperlink>
            <w:hyperlink w:anchor="icc83763103cd4ed18e1f4763d7ab10d2_22">
              <w:r>
                <w:rPr>
                  <w:rStyle w:val="InternetLink"/>
                  <w:rFonts w:ascii="Times New Roman;serif" w:hAnsi="Times New Roman;serif"/>
                  <w:b/>
                  <w:color w:val="000080"/>
                  <w:sz w:val="20"/>
                  <w:u w:val="single"/>
                </w:rPr>
                <w:t>6</w:t>
              </w:r>
            </w:hyperlink>
            <w:hyperlink w:anchor="icc83763103cd4ed18e1f4763d7ab10d2_22">
              <w:r>
                <w:rPr>
                  <w:rStyle w:val="InternetLink"/>
                  <w:rFonts w:ascii="Times New Roman;serif" w:hAnsi="Times New Roman;serif"/>
                  <w:b/>
                  <w:color w:val="000080"/>
                  <w:sz w:val="20"/>
                  <w:u w:val="single"/>
                </w:rPr>
                <w:t xml:space="preserve"> and 202</w:t>
              </w:r>
            </w:hyperlink>
            <w:hyperlink w:anchor="icc83763103cd4ed18e1f4763d7ab10d2_22">
              <w:r>
                <w:rPr>
                  <w:rStyle w:val="InternetLink"/>
                  <w:rFonts w:ascii="Times New Roman;serif" w:hAnsi="Times New Roman;serif"/>
                  <w:b/>
                  <w:color w:val="000080"/>
                  <w:sz w:val="20"/>
                  <w:u w:val="single"/>
                </w:rPr>
                <w:t>5</w:t>
              </w:r>
            </w:hyperlink>
            <w:hyperlink w:anchor="icc83763103cd4ed18e1f4763d7ab10d2_22">
              <w:r>
                <w:rPr>
                  <w:rStyle w:val="InternetLink"/>
                  <w:rFonts w:ascii="Times New Roman;serif" w:hAnsi="Times New Roman;serif"/>
                  <w:b/>
                  <w:color w:val="000080"/>
                  <w:sz w:val="20"/>
                  <w:u w:val="single"/>
                </w:rPr>
                <w:t xml:space="preserve">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22">
              <w:r>
                <w:rPr>
                  <w:rStyle w:val="InternetLink"/>
                  <w:rFonts w:ascii="Times New Roman;serif" w:hAnsi="Times New Roman;serif"/>
                  <w:b/>
                  <w:color w:val="0000FF"/>
                  <w:sz w:val="20"/>
                  <w:u w:val="singl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25">
              <w:r>
                <w:rPr>
                  <w:rStyle w:val="InternetLink"/>
                  <w:rFonts w:ascii="Times New Roman;serif" w:hAnsi="Times New Roman;serif"/>
                  <w:b/>
                  <w:color w:val="000080"/>
                  <w:sz w:val="20"/>
                  <w:u w:val="single"/>
                </w:rPr>
                <w:t xml:space="preserve">Condensed Consolidated Statements of Cash Flows for the </w:t>
              </w:r>
            </w:hyperlink>
            <w:hyperlink w:anchor="icc83763103cd4ed18e1f4763d7ab10d2_25">
              <w:r>
                <w:rPr>
                  <w:rStyle w:val="InternetLink"/>
                  <w:rFonts w:ascii="Times New Roman;serif" w:hAnsi="Times New Roman;serif"/>
                  <w:b/>
                  <w:color w:val="000080"/>
                  <w:sz w:val="20"/>
                  <w:u w:val="single"/>
                </w:rPr>
                <w:t>six</w:t>
              </w:r>
            </w:hyperlink>
            <w:hyperlink w:anchor="icc83763103cd4ed18e1f4763d7ab10d2_25">
              <w:r>
                <w:rPr>
                  <w:rStyle w:val="InternetLink"/>
                  <w:rFonts w:ascii="Times New Roman;serif" w:hAnsi="Times New Roman;serif"/>
                  <w:b/>
                  <w:color w:val="000080"/>
                  <w:sz w:val="20"/>
                  <w:u w:val="single"/>
                </w:rPr>
                <w:t xml:space="preserve"> months ended </w:t>
              </w:r>
            </w:hyperlink>
            <w:hyperlink w:anchor="icc83763103cd4ed18e1f4763d7ab10d2_25">
              <w:r>
                <w:rPr>
                  <w:rStyle w:val="InternetLink"/>
                  <w:rFonts w:ascii="Times New Roman;serif" w:hAnsi="Times New Roman;serif"/>
                  <w:b/>
                  <w:color w:val="000080"/>
                  <w:sz w:val="20"/>
                  <w:u w:val="single"/>
                </w:rPr>
                <w:t>March</w:t>
              </w:r>
            </w:hyperlink>
            <w:hyperlink w:anchor="icc83763103cd4ed18e1f4763d7ab10d2_25">
              <w:r>
                <w:rPr>
                  <w:rStyle w:val="InternetLink"/>
                  <w:rFonts w:ascii="Times New Roman;serif" w:hAnsi="Times New Roman;serif"/>
                  <w:b/>
                  <w:color w:val="000080"/>
                  <w:sz w:val="20"/>
                  <w:u w:val="single"/>
                </w:rPr>
                <w:t xml:space="preserve"> 31, 202</w:t>
              </w:r>
            </w:hyperlink>
            <w:hyperlink w:anchor="icc83763103cd4ed18e1f4763d7ab10d2_25">
              <w:r>
                <w:rPr>
                  <w:rStyle w:val="InternetLink"/>
                  <w:rFonts w:ascii="Times New Roman;serif" w:hAnsi="Times New Roman;serif"/>
                  <w:b/>
                  <w:color w:val="000080"/>
                  <w:sz w:val="20"/>
                  <w:u w:val="single"/>
                </w:rPr>
                <w:t>6</w:t>
              </w:r>
            </w:hyperlink>
            <w:hyperlink w:anchor="icc83763103cd4ed18e1f4763d7ab10d2_25">
              <w:r>
                <w:rPr>
                  <w:rStyle w:val="InternetLink"/>
                  <w:rFonts w:ascii="Times New Roman;serif" w:hAnsi="Times New Roman;serif"/>
                  <w:b/>
                  <w:color w:val="000080"/>
                  <w:sz w:val="20"/>
                  <w:u w:val="single"/>
                </w:rPr>
                <w:t xml:space="preserve"> and 202</w:t>
              </w:r>
            </w:hyperlink>
            <w:hyperlink w:anchor="icc83763103cd4ed18e1f4763d7ab10d2_25">
              <w:r>
                <w:rPr>
                  <w:rStyle w:val="InternetLink"/>
                  <w:rFonts w:ascii="Times New Roman;serif" w:hAnsi="Times New Roman;serif"/>
                  <w:b/>
                  <w:color w:val="000080"/>
                  <w:sz w:val="20"/>
                  <w:u w:val="single"/>
                </w:rPr>
                <w:t>5</w:t>
              </w:r>
            </w:hyperlink>
            <w:hyperlink w:anchor="icc83763103cd4ed18e1f4763d7ab10d2_25">
              <w:r>
                <w:rPr>
                  <w:rStyle w:val="InternetLink"/>
                  <w:rFonts w:ascii="Times New Roman;serif" w:hAnsi="Times New Roman;serif"/>
                  <w:b/>
                  <w:color w:val="000080"/>
                  <w:sz w:val="20"/>
                  <w:u w:val="single"/>
                </w:rPr>
                <w:t xml:space="preserve"> (Unaudited) </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25">
              <w:r>
                <w:rPr>
                  <w:rStyle w:val="InternetLink"/>
                  <w:rFonts w:ascii="Times New Roman;serif" w:hAnsi="Times New Roman;serif"/>
                  <w:b/>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28">
              <w:r>
                <w:rPr>
                  <w:rStyle w:val="InternetLink"/>
                  <w:rFonts w:ascii="Times New Roman;serif" w:hAnsi="Times New Roman;serif"/>
                  <w:b/>
                  <w:color w:val="0000FF"/>
                  <w:sz w:val="20"/>
                  <w:u w:val="single"/>
                </w:rPr>
                <w:t>Notes to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28">
              <w:r>
                <w:rPr>
                  <w:rStyle w:val="InternetLink"/>
                  <w:rFonts w:ascii="Times New Roman;serif" w:hAnsi="Times New Roman;serif"/>
                  <w:b/>
                  <w:color w:val="0000FF"/>
                  <w:sz w:val="20"/>
                  <w:u w:val="single"/>
                </w:rPr>
                <w:t>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91">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91">
              <w:r>
                <w:rPr>
                  <w:rStyle w:val="InternetLink"/>
                  <w:rFonts w:ascii="Times New Roman;serif" w:hAnsi="Times New Roman;serif"/>
                  <w:b/>
                  <w:color w:val="0000FF"/>
                  <w:sz w:val="20"/>
                  <w:u w:val="single"/>
                </w:rPr>
                <w:t>28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03">
              <w:r>
                <w:rPr>
                  <w:rStyle w:val="InternetLink"/>
                  <w:rFonts w:ascii="Times New Roman;serif" w:hAnsi="Times New Roman;serif"/>
                  <w:b/>
                  <w:color w:val="0000FF"/>
                  <w:sz w:val="20"/>
                  <w:u w:val="single"/>
                </w:rPr>
                <w:t>Item 3. 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03">
              <w:r>
                <w:rPr>
                  <w:rStyle w:val="InternetLink"/>
                  <w:rFonts w:ascii="Times New Roman;serif" w:hAnsi="Times New Roman;serif"/>
                  <w:b/>
                  <w:color w:val="0000FF"/>
                  <w:sz w:val="20"/>
                  <w:u w:val="single"/>
                </w:rPr>
                <w:t>44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06">
              <w:r>
                <w:rPr>
                  <w:rStyle w:val="InternetLink"/>
                  <w:rFonts w:ascii="Times New Roman;serif" w:hAnsi="Times New Roman;serif"/>
                  <w:b/>
                  <w:color w:val="0000FF"/>
                  <w:sz w:val="20"/>
                  <w:u w:val="single"/>
                </w:rPr>
                <w:t>Item 4. 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06">
              <w:r>
                <w:rPr>
                  <w:rStyle w:val="InternetLink"/>
                  <w:rFonts w:ascii="Times New Roman;serif" w:hAnsi="Times New Roman;serif"/>
                  <w:b/>
                  <w:color w:val="0000FF"/>
                  <w:sz w:val="20"/>
                  <w:u w:val="single"/>
                </w:rPr>
                <w:t>44</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09">
              <w:r>
                <w:rPr>
                  <w:rStyle w:val="InternetLink"/>
                  <w:rFonts w:ascii="Times New Roman;serif" w:hAnsi="Times New Roman;serif"/>
                  <w:b/>
                  <w:color w:val="0000FF"/>
                  <w:sz w:val="20"/>
                  <w:u w:val="single"/>
                </w:rPr>
                <w:t>PART II.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09">
              <w:r>
                <w:rPr>
                  <w:rStyle w:val="InternetLink"/>
                  <w:rFonts w:ascii="Times New Roman;serif" w:hAnsi="Times New Roman;serif"/>
                  <w:b/>
                  <w:color w:val="0000FF"/>
                  <w:sz w:val="20"/>
                  <w:u w:val="singl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12">
              <w:r>
                <w:rPr>
                  <w:rStyle w:val="InternetLink"/>
                  <w:rFonts w:ascii="Times New Roman;serif" w:hAnsi="Times New Roman;serif"/>
                  <w:b/>
                  <w:color w:val="0000FF"/>
                  <w:sz w:val="20"/>
                  <w:u w:val="single"/>
                </w:rPr>
                <w:t>Item 1. 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12">
              <w:r>
                <w:rPr>
                  <w:rStyle w:val="InternetLink"/>
                  <w:rFonts w:ascii="Times New Roman;serif" w:hAnsi="Times New Roman;serif"/>
                  <w:b/>
                  <w:color w:val="0000FF"/>
                  <w:sz w:val="20"/>
                  <w:u w:val="singl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15">
              <w:r>
                <w:rPr>
                  <w:rStyle w:val="InternetLink"/>
                  <w:rFonts w:ascii="Times New Roman;serif" w:hAnsi="Times New Roman;serif"/>
                  <w:b/>
                  <w:color w:val="0000FF"/>
                  <w:sz w:val="20"/>
                  <w:u w:val="single"/>
                </w:rPr>
                <w:t>Item 1A. 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15">
              <w:r>
                <w:rPr>
                  <w:rStyle w:val="InternetLink"/>
                  <w:rFonts w:ascii="Times New Roman;serif" w:hAnsi="Times New Roman;serif"/>
                  <w:b/>
                  <w:color w:val="0000FF"/>
                  <w:sz w:val="20"/>
                  <w:u w:val="singl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18">
              <w:r>
                <w:rPr>
                  <w:rStyle w:val="InternetLink"/>
                  <w:rFonts w:ascii="Times New Roman;serif" w:hAnsi="Times New Roman;serif"/>
                  <w:b/>
                  <w:color w:val="0000FF"/>
                  <w:sz w:val="20"/>
                  <w:u w:val="single"/>
                </w:rPr>
                <w:t>Item 2. 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18">
              <w:r>
                <w:rPr>
                  <w:rStyle w:val="InternetLink"/>
                  <w:rFonts w:ascii="Times New Roman;serif" w:hAnsi="Times New Roman;serif"/>
                  <w:b/>
                  <w:color w:val="0000FF"/>
                  <w:sz w:val="20"/>
                  <w:u w:val="singl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21">
              <w:r>
                <w:rPr>
                  <w:rStyle w:val="InternetLink"/>
                  <w:rFonts w:ascii="Times New Roman;serif" w:hAnsi="Times New Roman;serif"/>
                  <w:b/>
                  <w:color w:val="0000FF"/>
                  <w:sz w:val="20"/>
                  <w:u w:val="single"/>
                </w:rPr>
                <w:t>Item 5.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21">
              <w:r>
                <w:rPr>
                  <w:rStyle w:val="InternetLink"/>
                  <w:rFonts w:ascii="Times New Roman;serif" w:hAnsi="Times New Roman;serif"/>
                  <w:b/>
                  <w:color w:val="0000FF"/>
                  <w:sz w:val="20"/>
                  <w:u w:val="single"/>
                </w:rPr>
                <w:t>45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30">
              <w:r>
                <w:rPr>
                  <w:rStyle w:val="InternetLink"/>
                  <w:rFonts w:ascii="Times New Roman;serif" w:hAnsi="Times New Roman;serif"/>
                  <w:b/>
                  <w:color w:val="0000FF"/>
                  <w:sz w:val="20"/>
                  <w:u w:val="single"/>
                </w:rPr>
                <w:t>Item 6. 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30">
              <w:r>
                <w:rPr>
                  <w:rStyle w:val="InternetLink"/>
                  <w:rFonts w:ascii="Times New Roman;serif" w:hAnsi="Times New Roman;serif"/>
                  <w:b/>
                  <w:color w:val="0000FF"/>
                  <w:sz w:val="20"/>
                  <w:u w:val="singl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3763103cd4ed18e1f4763d7ab10d2_133">
              <w:r>
                <w:rPr>
                  <w:rStyle w:val="InternetLink"/>
                  <w:rFonts w:ascii="Times New Roman;serif" w:hAnsi="Times New Roman;serif"/>
                  <w:b/>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3763103cd4ed18e1f4763d7ab10d2_133">
              <w:r>
                <w:rPr>
                  <w:rStyle w:val="InternetLink"/>
                  <w:rFonts w:ascii="Times New Roman;serif" w:hAnsi="Times New Roman;serif"/>
                  <w:b/>
                  <w:color w:val="0000FF"/>
                  <w:sz w:val="20"/>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15"/>
        <w:gridCol w:w="2101"/>
        <w:gridCol w:w="2108"/>
        <w:gridCol w:w="211"/>
        <w:gridCol w:w="991"/>
        <w:gridCol w:w="109"/>
        <w:gridCol w:w="109"/>
        <w:gridCol w:w="109"/>
        <w:gridCol w:w="109"/>
        <w:gridCol w:w="226"/>
        <w:gridCol w:w="1049"/>
        <w:gridCol w:w="168"/>
      </w:tblGrid>
      <w:tr>
        <w:trPr/>
        <w:tc>
          <w:tcPr>
            <w:tcW w:w="2915"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$266 and $266,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2,252,872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2,757,480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(net of debt issuance costs of $5,762 and $6,611,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1,586,700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1,360,802 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5,000,000 shares authorized, no shares issued)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63,000,000 shares authorized, 28,331,558 issued and outstanding and 29,762,293 issued and outstanding,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780,480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390,272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1,170,780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1,248,906 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2,757,480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419" w:type="dxa"/>
        <w:jc w:val="center"/>
        <w:tblInd w:w="0" w:type="dxa"/>
        <w:tblLayout w:type="fixed"/>
        <w:tblCellMar>
          <w:top w:w="28" w:type="dxa"/>
          <w:left w:w="28" w:type="dxa"/>
          <w:bottom w:w="28" w:type="dxa"/>
          <w:right w:w="28" w:type="dxa"/>
        </w:tblCellMar>
      </w:tblPr>
      <w:tblGrid>
        <w:gridCol w:w="1314"/>
        <w:gridCol w:w="1155"/>
        <w:gridCol w:w="1160"/>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in thousands (except per share data)</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409,846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773,337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sales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683,768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per share:</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pPr>
      <w:r>
        <w:rPr>
          <w:rFonts w:ascii="Times New Roman;serif" w:hAnsi="Times New Roman;serif"/>
          <w:b/>
          <w:color w:val="000000"/>
          <w:sz w:val="20"/>
          <w:shd w:fill="FFFFFF" w:val="clear"/>
        </w:rPr>
        <w:t>BEAZER HOM</w:t>
      </w:r>
      <w:r>
        <w:rPr>
          <w:rFonts w:ascii="Times New Roman;serif" w:hAnsi="Times New Roman;serif"/>
          <w:b/>
          <w:color w:val="000000"/>
          <w:sz w:val="20"/>
        </w:rPr>
        <w:t>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67"/>
        <w:gridCol w:w="1033"/>
        <w:gridCol w:w="1028"/>
        <w:gridCol w:w="368"/>
        <w:gridCol w:w="368"/>
        <w:gridCol w:w="196"/>
        <w:gridCol w:w="109"/>
        <w:gridCol w:w="109"/>
        <w:gridCol w:w="109"/>
        <w:gridCol w:w="211"/>
        <w:gridCol w:w="376"/>
        <w:gridCol w:w="109"/>
        <w:gridCol w:w="109"/>
        <w:gridCol w:w="109"/>
        <w:gridCol w:w="109"/>
        <w:gridCol w:w="218"/>
        <w:gridCol w:w="871"/>
        <w:gridCol w:w="112"/>
        <w:gridCol w:w="109"/>
        <w:gridCol w:w="109"/>
        <w:gridCol w:w="109"/>
        <w:gridCol w:w="250"/>
        <w:gridCol w:w="1000"/>
        <w:gridCol w:w="129"/>
        <w:gridCol w:w="109"/>
        <w:gridCol w:w="109"/>
        <w:gridCol w:w="109"/>
        <w:gridCol w:w="211"/>
        <w:gridCol w:w="991"/>
        <w:gridCol w:w="159"/>
      </w:tblGrid>
      <w:tr>
        <w:trPr/>
        <w:tc>
          <w:tcPr>
            <w:tcW w:w="12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29,507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809,042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391,176</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1,200,248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1,876</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(30,434)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(30,436)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28,332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780,480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390,272</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1,170,780</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88"/>
        <w:gridCol w:w="1036"/>
        <w:gridCol w:w="1031"/>
        <w:gridCol w:w="368"/>
        <w:gridCol w:w="368"/>
        <w:gridCol w:w="196"/>
        <w:gridCol w:w="109"/>
        <w:gridCol w:w="109"/>
        <w:gridCol w:w="109"/>
        <w:gridCol w:w="211"/>
        <w:gridCol w:w="376"/>
        <w:gridCol w:w="109"/>
        <w:gridCol w:w="109"/>
        <w:gridCol w:w="109"/>
        <w:gridCol w:w="109"/>
        <w:gridCol w:w="217"/>
        <w:gridCol w:w="868"/>
        <w:gridCol w:w="112"/>
        <w:gridCol w:w="109"/>
        <w:gridCol w:w="109"/>
        <w:gridCol w:w="109"/>
        <w:gridCol w:w="246"/>
        <w:gridCol w:w="984"/>
        <w:gridCol w:w="127"/>
        <w:gridCol w:w="109"/>
        <w:gridCol w:w="109"/>
        <w:gridCol w:w="109"/>
        <w:gridCol w:w="211"/>
        <w:gridCol w:w="991"/>
        <w:gridCol w:w="158"/>
      </w:tblGrid>
      <w:tr>
        <w:trPr/>
        <w:tc>
          <w:tcPr>
            <w:tcW w:w="128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 2026</w:t>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29,762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825,103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423,773</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1,248,906</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(45,560)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(45,563)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28,332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780,480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390,272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1,170,780</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310"/>
        <w:gridCol w:w="1045"/>
        <w:gridCol w:w="1038"/>
        <w:gridCol w:w="360"/>
        <w:gridCol w:w="361"/>
        <w:gridCol w:w="196"/>
        <w:gridCol w:w="109"/>
        <w:gridCol w:w="109"/>
        <w:gridCol w:w="109"/>
        <w:gridCol w:w="214"/>
        <w:gridCol w:w="366"/>
        <w:gridCol w:w="111"/>
        <w:gridCol w:w="109"/>
        <w:gridCol w:w="109"/>
        <w:gridCol w:w="109"/>
        <w:gridCol w:w="219"/>
        <w:gridCol w:w="862"/>
        <w:gridCol w:w="113"/>
        <w:gridCol w:w="109"/>
        <w:gridCol w:w="109"/>
        <w:gridCol w:w="109"/>
        <w:gridCol w:w="250"/>
        <w:gridCol w:w="979"/>
        <w:gridCol w:w="129"/>
        <w:gridCol w:w="109"/>
        <w:gridCol w:w="109"/>
        <w:gridCol w:w="109"/>
        <w:gridCol w:w="211"/>
        <w:gridCol w:w="976"/>
        <w:gridCol w:w="157"/>
      </w:tblGrid>
      <w:tr>
        <w:trPr/>
        <w:tc>
          <w:tcPr>
            <w:tcW w:w="131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381,315 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394,093 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98"/>
        <w:gridCol w:w="1049"/>
        <w:gridCol w:w="1045"/>
        <w:gridCol w:w="360"/>
        <w:gridCol w:w="361"/>
        <w:gridCol w:w="196"/>
        <w:gridCol w:w="109"/>
        <w:gridCol w:w="109"/>
        <w:gridCol w:w="109"/>
        <w:gridCol w:w="214"/>
        <w:gridCol w:w="366"/>
        <w:gridCol w:w="111"/>
        <w:gridCol w:w="109"/>
        <w:gridCol w:w="109"/>
        <w:gridCol w:w="109"/>
        <w:gridCol w:w="219"/>
        <w:gridCol w:w="862"/>
        <w:gridCol w:w="113"/>
        <w:gridCol w:w="109"/>
        <w:gridCol w:w="109"/>
        <w:gridCol w:w="109"/>
        <w:gridCol w:w="250"/>
        <w:gridCol w:w="979"/>
        <w:gridCol w:w="129"/>
        <w:gridCol w:w="109"/>
        <w:gridCol w:w="109"/>
        <w:gridCol w:w="109"/>
        <w:gridCol w:w="211"/>
        <w:gridCol w:w="976"/>
        <w:gridCol w:w="158"/>
      </w:tblGrid>
      <w:tr>
        <w:trPr/>
        <w:tc>
          <w:tcPr>
            <w:tcW w:w="129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 2025</w:t>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394,093 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473" w:type="dxa"/>
        <w:jc w:val="left"/>
        <w:tblInd w:w="0" w:type="dxa"/>
        <w:tblLayout w:type="fixed"/>
        <w:tblCellMar>
          <w:top w:w="28" w:type="dxa"/>
          <w:left w:w="28" w:type="dxa"/>
          <w:bottom w:w="28" w:type="dxa"/>
          <w:right w:w="28" w:type="dxa"/>
        </w:tblCellMar>
      </w:tblPr>
      <w:tblGrid>
        <w:gridCol w:w="2460"/>
        <w:gridCol w:w="2163"/>
        <w:gridCol w:w="2171"/>
        <w:gridCol w:w="211"/>
        <w:gridCol w:w="841"/>
        <w:gridCol w:w="109"/>
        <w:gridCol w:w="109"/>
        <w:gridCol w:w="109"/>
        <w:gridCol w:w="109"/>
        <w:gridCol w:w="211"/>
        <w:gridCol w:w="826"/>
        <w:gridCol w:w="154"/>
      </w:tblGrid>
      <w:tr>
        <w:trPr/>
        <w:tc>
          <w:tcPr>
            <w:tcW w:w="246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used in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fixed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income tax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inventory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Decrease in other assets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trade 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fixed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from credit facility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credit facility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payments for stock-based compensation awards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120,401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180" w:after="283"/>
        <w:jc w:val="both"/>
        <w:rPr/>
      </w:pPr>
      <w:r>
        <w:rPr>
          <w:rFonts w:ascii="Times New Roman;serif" w:hAnsi="Times New Roman;serif"/>
          <w:b w:val="false"/>
          <w:color w:val="000000"/>
          <w:sz w:val="20"/>
        </w:rPr>
        <w:t xml:space="preserve">Beazer Homes USA, Inc. (“we,” “us,” “our,” “Beazer,” “Beazer Homes” or the “Company”) is a nationally recognized homebuilder </w:t>
      </w:r>
      <w:r>
        <w:rPr>
          <w:rFonts w:ascii="Times New Roman;serif" w:hAnsi="Times New Roman;serif"/>
          <w:b w:val="false"/>
          <w:color w:val="000000"/>
          <w:sz w:val="20"/>
          <w:shd w:fill="FFFFFF" w:val="clear"/>
        </w:rPr>
        <w:t>committed to building homes and communities designed to inspire sustainable and healthier living.</w:t>
      </w:r>
      <w:r>
        <w:rPr>
          <w:color w:val="000000"/>
        </w:rPr>
        <w:t xml:space="preserve"> </w:t>
      </w:r>
      <w:r>
        <w:rPr>
          <w:rFonts w:ascii="Times New Roman;serif" w:hAnsi="Times New Roman;serif"/>
          <w:b w:val="false"/>
          <w:color w:val="000000"/>
          <w:sz w:val="20"/>
        </w:rPr>
        <w:t>Operating across 13 states in the West, East, and Southeast geographic regions of the United States, Beazer Homes offers a diverse portfolio of products tailored to meet the evolving needs of homebuyers that value a well-constructed and energy efficient home</w:t>
      </w:r>
      <w:r>
        <w:rPr>
          <w:rFonts w:ascii="Times New Roman;serif" w:hAnsi="Times New Roman;serif"/>
          <w:b w:val="false"/>
          <w:color w:val="000000"/>
          <w:sz w:val="20"/>
          <w:shd w:fill="FFFFFF" w:val="clear"/>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an additional description of our business, refer to Item 1 within our Annual Report on Form 10-K for the fiscal year ended September 30, 2025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(2) Basis of Presentation and Summary of Significant Accounting Policies </w:t>
      </w:r>
    </w:p>
    <w:p>
      <w:pPr>
        <w:pStyle w:val="TextBody"/>
        <w:bidi w:val="0"/>
        <w:spacing w:lineRule="auto" w:line="288" w:before="180" w:after="283"/>
        <w:jc w:val="both"/>
        <w:rPr/>
      </w:pPr>
      <w:r>
        <w:rPr>
          <w:rFonts w:ascii="Times New Roman;serif" w:hAnsi="Times New Roman;serif"/>
          <w:b w:val="false"/>
          <w:color w:val="000000"/>
          <w:sz w:val="20"/>
        </w:rPr>
        <w:t>The accompanying unaudited condensed consolidated financial statements of the Company have been prepared in accordance with accounting principles generally accepted in the United States of America (GAAP) for interim financial information and in accordance with the instructions to Form 10-Q and Article 10 of Regulation S-X. The unaudited condensed consolidated financial state</w:t>
      </w:r>
      <w:r>
        <w:rPr>
          <w:rFonts w:ascii="Times New Roman;serif" w:hAnsi="Times New Roman;serif"/>
          <w:b w:val="false"/>
          <w:color w:val="000000"/>
          <w:sz w:val="20"/>
          <w:shd w:fill="FFFFFF" w:val="clear"/>
        </w:rPr>
        <w:t xml:space="preserve">ments do not include all of the information and disclosures required by GAAP for complete financial statements. As such, the accompanying unaudited condensed consolidated financial statements should be read in conjunction with the consolidated financial statements and notes thereto included in the Company's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Annual Report. In the opinion of management, all adjustments, consisting of normal recurring adjustments, necessary for a fair presentation have been included in the accompanying unaudited condensed consolidated financial statements. The results of the Company's consolidated operations presented herein for the three and six months ended March 31, 2026 are not necessarily indicative of the results to be expected for the full fiscal year due to seasonal variations in our operations and other factors.</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Basis of Consolidation </w:t>
      </w:r>
    </w:p>
    <w:p>
      <w:pPr>
        <w:pStyle w:val="TextBody"/>
        <w:bidi w:val="0"/>
        <w:spacing w:lineRule="auto" w:line="288" w:before="180" w:after="283"/>
        <w:jc w:val="both"/>
        <w:rPr/>
      </w:pPr>
      <w:r>
        <w:rPr>
          <w:rFonts w:ascii="Times New Roman;serif" w:hAnsi="Times New Roman;serif"/>
          <w:b w:val="false"/>
          <w:color w:val="000000"/>
          <w:sz w:val="20"/>
        </w:rPr>
        <w:t>The accompanying unaudited condensed consolidated financial statements include the accounts of Beazer</w:t>
      </w:r>
      <w:r>
        <w:rPr>
          <w:color w:val="000000"/>
          <w:shd w:fill="FFFFFF" w:val="clear"/>
        </w:rPr>
        <w:t xml:space="preserve"> </w:t>
      </w:r>
      <w:r>
        <w:rPr>
          <w:rFonts w:ascii="Times New Roman;serif" w:hAnsi="Times New Roman;serif"/>
          <w:b w:val="false"/>
          <w:color w:val="000000"/>
          <w:sz w:val="20"/>
          <w:shd w:fill="FFFFFF" w:val="clear"/>
        </w:rPr>
        <w:t>Homes USA, Inc. and its consolidated subsidiaries. Intercompany transactions and balances have been eliminated in consolidation</w:t>
      </w:r>
      <w:r>
        <w:rPr>
          <w:rFonts w:ascii="Times New Roman;serif" w:hAnsi="Times New Roman;serif"/>
          <w:b w:val="false"/>
          <w:color w:val="000000"/>
          <w:sz w:val="20"/>
        </w:rPr>
        <w:t>. Our net (loss) income is equivalent to our comprehensive (loss) income, so we have not presented a separate statement of comprehensive (loss)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fiscal year 2026 began on October 1, 2025 and ends on September 30, 2026. Our fiscal year 2025 began on October 1, 2024 and ended on September 30,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informed estimates and judgments that affect the amounts reported in the condensed consolidated financial statements and accompanying notes. Accordingly, actual results could differ from these estimates.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283"/>
        <w:jc w:val="both"/>
        <w:rPr/>
      </w:pPr>
      <w:r>
        <w:rPr>
          <w:rFonts w:ascii="Times New Roman;serif" w:hAnsi="Times New Roman;serif"/>
          <w:b w:val="false"/>
          <w:color w:val="000000"/>
          <w:sz w:val="20"/>
        </w:rPr>
        <w:t>In April 2025, the Company's Board of Directors approved a share repurchase program that authorizes the Company to repurchase up to $100.0 million of its outstanding common stock. The repurchase program has no expiration date and repurchases may be conducted through open market purchases, 10b5-1 plans, accelerated share repurchases, or private transactions. T</w:t>
      </w:r>
      <w:r>
        <w:rPr>
          <w:rFonts w:ascii="Times New Roman;serif" w:hAnsi="Times New Roman;serif"/>
          <w:b w:val="false"/>
          <w:color w:val="000000"/>
          <w:sz w:val="20"/>
          <w:shd w:fill="FFFFFF" w:val="clear"/>
        </w:rPr>
        <w:t xml:space="preserve">he Company repurchased 1.2 million shares of its common stock for an aggregate </w:t>
      </w:r>
      <w:r>
        <w:rPr>
          <w:rFonts w:ascii="Times New Roman;serif" w:hAnsi="Times New Roman;serif"/>
          <w:b w:val="false"/>
          <w:color w:val="000000"/>
          <w:sz w:val="20"/>
        </w:rPr>
        <w:t>$30.0 million</w:t>
      </w:r>
      <w:r>
        <w:rPr>
          <w:color w:val="000000"/>
          <w:shd w:fill="FFFFFF" w:val="clear"/>
        </w:rPr>
        <w:t xml:space="preserve"> </w:t>
      </w:r>
      <w:r>
        <w:rPr>
          <w:rFonts w:ascii="Times New Roman;serif" w:hAnsi="Times New Roman;serif"/>
          <w:b w:val="false"/>
          <w:color w:val="000000"/>
          <w:sz w:val="20"/>
          <w:shd w:fill="FFFFFF" w:val="clear"/>
        </w:rPr>
        <w:t xml:space="preserve">(inclusive of commissions and exclusive of accrued excise tax) at an average price per share of </w:t>
      </w:r>
      <w:r>
        <w:rPr>
          <w:rFonts w:ascii="Times New Roman;serif" w:hAnsi="Times New Roman;serif"/>
          <w:b w:val="false"/>
          <w:color w:val="000000"/>
          <w:sz w:val="20"/>
        </w:rPr>
        <w:t>$25.54</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March 31, 2026. This brings the total repurchases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March 31, 2026 to 1.9 million</w:t>
      </w:r>
      <w:r>
        <w:rPr>
          <w:color w:val="000000"/>
        </w:rPr>
        <w:t xml:space="preserve"> </w:t>
      </w:r>
      <w:r>
        <w:rPr>
          <w:rFonts w:ascii="Times New Roman;serif" w:hAnsi="Times New Roman;serif"/>
          <w:b w:val="false"/>
          <w:color w:val="000000"/>
          <w:sz w:val="20"/>
        </w:rPr>
        <w:t xml:space="preserve">shares of common stock for $45.1 million at an average price per share of $24.12. During the three and six months ended March 31, 2025, </w:t>
      </w:r>
      <w:r>
        <w:rPr>
          <w:rFonts w:ascii="Times New Roman;serif" w:hAnsi="Times New Roman;serif"/>
          <w:b w:val="false"/>
          <w:color w:val="000000"/>
          <w:sz w:val="20"/>
          <w:shd w:fill="FFFFFF" w:val="clear"/>
        </w:rPr>
        <w:t xml:space="preserve">905 thousand </w:t>
      </w:r>
      <w:r>
        <w:rPr>
          <w:rFonts w:ascii="Times New Roman;serif" w:hAnsi="Times New Roman;serif"/>
          <w:b w:val="false"/>
          <w:color w:val="000000"/>
          <w:sz w:val="20"/>
        </w:rPr>
        <w:t xml:space="preserve">shares were repurchased for </w:t>
      </w:r>
      <w:r>
        <w:rPr>
          <w:rFonts w:ascii="Times New Roman;serif" w:hAnsi="Times New Roman;serif"/>
          <w:b w:val="false"/>
          <w:color w:val="000000"/>
          <w:sz w:val="20"/>
          <w:shd w:fill="FFFFFF" w:val="clear"/>
        </w:rPr>
        <w:t xml:space="preserve">$20.6 million </w:t>
      </w:r>
      <w:r>
        <w:rPr>
          <w:rFonts w:ascii="Times New Roman;serif" w:hAnsi="Times New Roman;serif"/>
          <w:b w:val="false"/>
          <w:color w:val="000000"/>
          <w:sz w:val="20"/>
        </w:rPr>
        <w:t xml:space="preserve">at an average price per share of </w:t>
      </w:r>
      <w:r>
        <w:rPr>
          <w:rFonts w:ascii="Times New Roman;serif" w:hAnsi="Times New Roman;serif"/>
          <w:b w:val="false"/>
          <w:color w:val="000000"/>
          <w:sz w:val="20"/>
          <w:shd w:fill="FFFFFF" w:val="clear"/>
        </w:rPr>
        <w:t>$22.73</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All shares have been retired upon repurchase. As of March 31, 2026, the remaining availability of the share repurchase program was $42.3 million.</w:t>
      </w:r>
      <w:r>
        <w:rPr>
          <w:color w:val="000000"/>
        </w:rPr>
        <w:t xml:space="preserve">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180" w:after="283"/>
        <w:jc w:val="both"/>
        <w:rPr/>
      </w:pPr>
      <w:r>
        <w:rPr>
          <w:rFonts w:ascii="Times New Roman;serif" w:hAnsi="Times New Roman;serif"/>
          <w:b w:val="false"/>
          <w:color w:val="000000"/>
          <w:sz w:val="20"/>
          <w:shd w:fill="FFFFFF" w:val="clear"/>
        </w:rPr>
        <w:t>We recognize revenue upon the transfer of promised goods to our customers in an amount that reflects the consid</w:t>
      </w:r>
      <w:r>
        <w:rPr>
          <w:rFonts w:ascii="Times New Roman;serif" w:hAnsi="Times New Roman;serif"/>
          <w:b w:val="false"/>
          <w:color w:val="000000"/>
          <w:sz w:val="20"/>
        </w:rPr>
        <w:t xml:space="preserve">eration to which we expect to be entitled by applying the process specified in Accounting Standards Codification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total revenue disaggregated by revenue stream for the periods presented:</w:t>
      </w:r>
    </w:p>
    <w:tbl>
      <w:tblPr>
        <w:tblW w:w="8264" w:type="dxa"/>
        <w:jc w:val="center"/>
        <w:tblInd w:w="0" w:type="dxa"/>
        <w:tblLayout w:type="fixed"/>
        <w:tblCellMar>
          <w:top w:w="28" w:type="dxa"/>
          <w:left w:w="28" w:type="dxa"/>
          <w:bottom w:w="28" w:type="dxa"/>
          <w:right w:w="28" w:type="dxa"/>
        </w:tblCellMar>
      </w:tblPr>
      <w:tblGrid>
        <w:gridCol w:w="894"/>
        <w:gridCol w:w="786"/>
        <w:gridCol w:w="794"/>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397,748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w:t>
            </w:r>
            <w:r>
              <w:rPr>
                <w:rFonts w:ascii="Times New Roman;serif" w:hAnsi="Times New Roman;serif"/>
                <w:b w:val="false"/>
                <w:color w:val="000000"/>
                <w:sz w:val="13"/>
              </w:rPr>
              <w:t>(a)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409,846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773,337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Please see Note 14 for total revenue disaggregated by reportable segment.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Homebuilding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Homebuilding revenue is reported net of price concessions, including discounts on home prices, discounts on homebuilding options and option upgrades. Closing cost incentives, such as seller-paid financing or closing costs, including rate buydowns, are recognized as a cost of selling the home and are included in home construction expenses.</w:t>
      </w:r>
    </w:p>
    <w:p>
      <w:pPr>
        <w:pStyle w:val="TextBody"/>
        <w:bidi w:val="0"/>
        <w:spacing w:lineRule="auto" w:line="288" w:before="180" w:after="283"/>
        <w:jc w:val="both"/>
        <w:rPr/>
      </w:pPr>
      <w:r>
        <w:rPr>
          <w:rFonts w:ascii="Times New Roman;serif" w:hAnsi="Times New Roman;serif"/>
          <w:b w:val="false"/>
          <w:color w:val="000000"/>
          <w:sz w:val="20"/>
        </w:rPr>
        <w:t>Homebuilding revenue is generally recognized when title to and possession of the home is transferred to the buyer on the closing date. The performance obligation to deliver the home is generally satisfied in less than one year from the original contract date. Home sale contract assets consist of cash from home closings held by title companies in escrow for our benefit, typically for less than five days, and are considered accounts receivable. Contract liabilities include customer deposits related to sold but undelivered homes</w:t>
      </w:r>
      <w:r>
        <w:rPr>
          <w:color w:val="000000"/>
          <w:shd w:fill="FFFFFF" w:val="clear"/>
        </w:rPr>
        <w:t xml:space="preserve"> </w:t>
      </w:r>
      <w:r>
        <w:rPr>
          <w:rFonts w:ascii="Times New Roman;serif" w:hAnsi="Times New Roman;serif"/>
          <w:b w:val="false"/>
          <w:color w:val="000000"/>
          <w:sz w:val="20"/>
          <w:shd w:fill="FFFFFF" w:val="clear"/>
        </w:rPr>
        <w:t>and totaled $21.1 million and $14.3 million</w:t>
      </w:r>
      <w:r>
        <w:rPr>
          <w:color w:val="000000"/>
        </w:rPr>
        <w:t xml:space="preserve"> </w:t>
      </w:r>
      <w:r>
        <w:rPr>
          <w:rFonts w:ascii="Times New Roman;serif" w:hAnsi="Times New Roman;serif"/>
          <w:b w:val="false"/>
          <w:color w:val="000000"/>
          <w:sz w:val="20"/>
        </w:rPr>
        <w:t>as of March 31, 2026 and September 30, 2025, respectively.</w:t>
      </w:r>
      <w:r>
        <w:rPr>
          <w:color w:val="000000"/>
          <w:shd w:fill="FFFFFF" w:val="clear"/>
        </w:rPr>
        <w:t xml:space="preserve"> </w:t>
      </w:r>
      <w:r>
        <w:rPr>
          <w:rFonts w:ascii="Times New Roman;serif" w:hAnsi="Times New Roman;serif"/>
          <w:b w:val="false"/>
          <w:color w:val="000000"/>
          <w:sz w:val="20"/>
        </w:rPr>
        <w:t xml:space="preserve">Of the customer liabilities outstanding as of September 30, 2025, $4.2 million and $11.3 million were recognized in revenue during the three and six months ended March 31, 2026, upon closing of the related homes. </w:t>
      </w:r>
    </w:p>
    <w:p>
      <w:pPr>
        <w:pStyle w:val="TextBody"/>
        <w:bidi w:val="0"/>
        <w:spacing w:lineRule="auto" w:line="288" w:before="180" w:after="283"/>
        <w:jc w:val="both"/>
        <w:rPr/>
      </w:pPr>
      <w:r>
        <w:rPr>
          <w:rFonts w:ascii="Times New Roman;serif" w:hAnsi="Times New Roman;serif"/>
          <w:b w:val="false"/>
          <w:i/>
          <w:color w:val="000000"/>
          <w:sz w:val="20"/>
          <w:shd w:fill="FFFFFF" w:val="clear"/>
        </w:rPr>
        <w:t>Land sales and oth</w:t>
      </w:r>
      <w:r>
        <w:rPr>
          <w:rFonts w:ascii="Times New Roman;serif" w:hAnsi="Times New Roman;serif"/>
          <w:b w:val="false"/>
          <w:i/>
          <w:color w:val="000000"/>
          <w:sz w:val="20"/>
        </w:rPr>
        <w:t>er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Land sales revenue relates to land that does not fit within our homebuilding programs or strategic plans. Land sales typically require cash consideration on the closing date, which is generally when performance obligations are satisfied. We also provide title examinations for our homebuyers in certain markets. Revenues associated with our title operations are recognized when closing services are rendered and title insurance policies are issued, both of which generally occur as each home is closed.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283"/>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our fiscal year ending September 30, 2026. Early adoption is permitted and the amendments in this update should be applied on a prospective basis. The Company is currently evaluating the impact that the adoption of ASU 2023-09 may have on our consolidated financial statements and disclosures.</w:t>
      </w:r>
    </w:p>
    <w:p>
      <w:pPr>
        <w:pStyle w:val="TextBody"/>
        <w:bidi w:val="0"/>
        <w:spacing w:lineRule="auto" w:line="288" w:before="180" w:after="283"/>
        <w:jc w:val="both"/>
        <w:rPr/>
      </w:pPr>
      <w:r>
        <w:rPr>
          <w:rFonts w:ascii="Times New Roman;serif" w:hAnsi="Times New Roman;serif"/>
          <w:b w:val="false"/>
          <w:i/>
          <w:color w:val="000000"/>
          <w:sz w:val="20"/>
        </w:rPr>
        <w:t>Income Statement Disclosures.</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ASU 2024-03 requires disclosure of additional information about specific expense categories in the notes to the financial statements. </w:t>
      </w:r>
      <w:r>
        <w:rPr>
          <w:rFonts w:ascii="Times New Roman;serif" w:hAnsi="Times New Roman;serif"/>
          <w:b w:val="false"/>
          <w:color w:val="000000"/>
          <w:sz w:val="20"/>
          <w:shd w:fill="FFFFFF" w:val="clear"/>
        </w:rPr>
        <w:t>ASU 2024-03 will be effective for our fiscal year ending September 30, 2028. Early adoption is permitted and the amendments in this update should be applied either prospectively to financial statements issued for reporting periods after the effective date of this ASU or retrospectively to any or all prior periods presented in the financial statements. The Company is currently evaluating the impact that the adoption of ASU 2024-03 may have on our consolidated financial statements and disclosures.</w:t>
      </w:r>
    </w:p>
    <w:p>
      <w:pPr>
        <w:pStyle w:val="TextBody"/>
        <w:bidi w:val="0"/>
        <w:spacing w:lineRule="auto" w:line="288" w:before="180" w:after="283"/>
        <w:jc w:val="both"/>
        <w:rPr/>
      </w:pPr>
      <w:r>
        <w:rPr>
          <w:rFonts w:ascii="Times New Roman;serif" w:hAnsi="Times New Roman;serif"/>
          <w:b w:val="false"/>
          <w:i/>
          <w:color w:val="000000"/>
          <w:sz w:val="20"/>
          <w:shd w:fill="FFFFFF" w:val="clear"/>
        </w:rPr>
        <w:t>Credit Losses.</w:t>
      </w:r>
      <w:r>
        <w:rPr>
          <w:color w:val="000000"/>
          <w:shd w:fill="FFFFFF" w:val="clear"/>
        </w:rPr>
        <w:t xml:space="preserve"> </w:t>
      </w:r>
      <w:r>
        <w:rPr>
          <w:rFonts w:ascii="Times New Roman;serif" w:hAnsi="Times New Roman;serif"/>
          <w:b w:val="false"/>
          <w:color w:val="000000"/>
          <w:sz w:val="20"/>
          <w:shd w:fill="FFFFFF" w:val="clear"/>
        </w:rPr>
        <w:t xml:space="preserve">In July 2025, the FASB issued ASU 2025-05, </w:t>
      </w:r>
      <w:r>
        <w:rPr>
          <w:rFonts w:ascii="Times New Roman;serif" w:hAnsi="Times New Roman;serif"/>
          <w:b w:val="false"/>
          <w:i/>
          <w:color w:val="000000"/>
          <w:sz w:val="20"/>
          <w:shd w:fill="FFFFFF" w:val="clear"/>
        </w:rPr>
        <w:t xml:space="preserve">Financial Instruments – Credit Losses (Topic 326): Measurement of Credit Losses for Accounts Receivable and Contract Assets, </w:t>
      </w:r>
      <w:r>
        <w:rPr>
          <w:rFonts w:ascii="Times New Roman;serif" w:hAnsi="Times New Roman;serif"/>
          <w:b w:val="false"/>
          <w:color w:val="000000"/>
          <w:sz w:val="20"/>
          <w:shd w:fill="FFFFFF" w:val="clear"/>
        </w:rPr>
        <w:t>which allows entities to use the practical expedient to estimate expected credit losses. ASU 2025-05 will be effective for our fiscal year ending September 30, 2027, and interim reporting periods within this annual reporting period, with early adoption permitted. The Company is currently evaluating the impact that the adoption of ASU 2025-05 may have on our consolidated financial statements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pPr>
      <w:r>
        <w:rPr>
          <w:rFonts w:ascii="Times New Roman;serif" w:hAnsi="Times New Roman;serif"/>
          <w:b w:val="false"/>
          <w:i/>
          <w:color w:val="000000"/>
          <w:sz w:val="20"/>
          <w:shd w:fill="FFFFFF" w:val="clear"/>
        </w:rPr>
        <w:t>Internal-Use Software.</w:t>
      </w:r>
      <w:r>
        <w:rPr>
          <w:color w:val="000000"/>
          <w:shd w:fill="FFFFFF" w:val="clear"/>
        </w:rPr>
        <w:t xml:space="preserve"> </w:t>
      </w:r>
      <w:r>
        <w:rPr>
          <w:rFonts w:ascii="Times New Roman;serif" w:hAnsi="Times New Roman;serif"/>
          <w:b w:val="false"/>
          <w:color w:val="000000"/>
          <w:sz w:val="20"/>
          <w:shd w:fill="FFFFFF" w:val="clear"/>
        </w:rPr>
        <w:t xml:space="preserve">In September 2025, the FASB issued ASU 2025-06, </w:t>
      </w:r>
      <w:r>
        <w:rPr>
          <w:rFonts w:ascii="Times New Roman;serif" w:hAnsi="Times New Roman;serif"/>
          <w:b w:val="false"/>
          <w:i/>
          <w:color w:val="000000"/>
          <w:sz w:val="20"/>
          <w:shd w:fill="FFFFFF" w:val="clear"/>
        </w:rPr>
        <w:t>Intangibles—Goodwill and Other—Internal-Use Software (Subtopic 350-40): Targeted Improvements to the Accounting for Internal-Use Software,</w:t>
      </w:r>
      <w:r>
        <w:rPr>
          <w:color w:val="000000"/>
          <w:shd w:fill="FFFFFF" w:val="clear"/>
        </w:rPr>
        <w:t xml:space="preserve"> </w:t>
      </w:r>
      <w:r>
        <w:rPr>
          <w:rFonts w:ascii="Times New Roman;serif" w:hAnsi="Times New Roman;serif"/>
          <w:b w:val="false"/>
          <w:color w:val="000000"/>
          <w:sz w:val="20"/>
          <w:shd w:fill="FFFFFF" w:val="clear"/>
        </w:rPr>
        <w:t>which modernizes the accounting for the costs of internal-use software by removing all references to software development project stages so that the guidance is neutral to different software development methods. ASU 2025-06 will be effective for our fiscal year ending September 30, 2029, and interim reporting periods within this annual reporting period. Early adoption is permitted and the amendments in this update may be applied on a retrospective, modified transition, or prospective basis. The Company is currently evaluating the impact that the adoption of ASU 2025-06 may have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Supplemental Cash Flow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disclosure of non-cash and cash activity as well as a reconciliation of total cash balances between the condensed consolidated balance sheets and condensed consolidated statements of cash flows for the periods presented:</w:t>
      </w:r>
    </w:p>
    <w:tbl>
      <w:tblPr>
        <w:tblW w:w="9668" w:type="dxa"/>
        <w:jc w:val="left"/>
        <w:tblInd w:w="0" w:type="dxa"/>
        <w:tblLayout w:type="fixed"/>
        <w:tblCellMar>
          <w:top w:w="28" w:type="dxa"/>
          <w:left w:w="28" w:type="dxa"/>
          <w:bottom w:w="28" w:type="dxa"/>
          <w:right w:w="28" w:type="dxa"/>
        </w:tblCellMar>
      </w:tblPr>
      <w:tblGrid>
        <w:gridCol w:w="2525"/>
        <w:gridCol w:w="2223"/>
        <w:gridCol w:w="2241"/>
        <w:gridCol w:w="211"/>
        <w:gridCol w:w="841"/>
        <w:gridCol w:w="109"/>
        <w:gridCol w:w="109"/>
        <w:gridCol w:w="109"/>
        <w:gridCol w:w="109"/>
        <w:gridCol w:w="211"/>
        <w:gridCol w:w="826"/>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activity:</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Increase in operating lease right-of-use assets</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Increase in operating lease liabilities</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activity: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statement of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120,401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Represents leases renewed or additional leases that commenced during the six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our inventory are as follows as of March 31, 2026 and September 30, 2025:</w:t>
      </w:r>
    </w:p>
    <w:tbl>
      <w:tblPr>
        <w:tblW w:w="7479" w:type="dxa"/>
        <w:jc w:val="center"/>
        <w:tblInd w:w="0" w:type="dxa"/>
        <w:tblLayout w:type="fixed"/>
        <w:tblCellMar>
          <w:top w:w="28" w:type="dxa"/>
          <w:left w:w="28" w:type="dxa"/>
          <w:bottom w:w="28" w:type="dxa"/>
          <w:right w:w="28" w:type="dxa"/>
        </w:tblCellMar>
      </w:tblPr>
      <w:tblGrid>
        <w:gridCol w:w="1264"/>
        <w:gridCol w:w="1112"/>
        <w:gridCol w:w="1118"/>
        <w:gridCol w:w="270"/>
        <w:gridCol w:w="1270"/>
        <w:gridCol w:w="139"/>
        <w:gridCol w:w="109"/>
        <w:gridCol w:w="109"/>
        <w:gridCol w:w="109"/>
        <w:gridCol w:w="311"/>
        <w:gridCol w:w="1441"/>
        <w:gridCol w:w="227"/>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under construction</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819,460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692,327 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under development</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1,082,296</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1,065,702 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future development</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19,489</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65,772</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147,786</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131,845 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Model homes</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90,144</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not owned under option agreements</w:t>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27,925</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2,252,872</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Homes under construction include homes substantially finished and ready for delivery and homes in various stages of construction, including costs of the underlying lot, direct construction costs and capitalized indirect costs</w:t>
      </w:r>
      <w:r>
        <w:rPr>
          <w:rFonts w:ascii="Times New Roman;serif" w:hAnsi="Times New Roman;serif"/>
          <w:b w:val="false"/>
          <w:color w:val="000000"/>
          <w:sz w:val="20"/>
          <w:shd w:fill="FFFFFF" w:val="clear"/>
        </w:rPr>
        <w:t xml:space="preserve">. As of March 31, 2026, we had 2,322 homes under construction, including 1,306 speculative (spec) homes totaling $448.6 million (893 in-process spec homes totaling $264.7 million, and 413 finished spec homes totaling $183.9 million).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had 1,800 homes </w:t>
      </w:r>
      <w:r>
        <w:rPr>
          <w:rFonts w:ascii="Times New Roman;serif" w:hAnsi="Times New Roman;serif"/>
          <w:b w:val="false"/>
          <w:color w:val="000000"/>
          <w:sz w:val="20"/>
        </w:rPr>
        <w:t>under construction, including 1,078 spec homes totaling $417.4 million (577 in-process spec homes totaling $201.8 million, and 501 finished spec homes totaling $215.6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Land under development consists principally of land acquisition, land development and other common costs. These land-related costs are allocated to individual lots on a pro-rata basis, and the lot costs are transferred to homes under construction when home construction begins for the respective lots. Certain of the fully developed lots in this category are reserved by a customer deposit or sales contract.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Land held for future development consists of communities for which construction and development activities are expected to occur in the future or have been idled and are stated at cost unless facts and circumstances indicate that the carrying value of the assets may not be recoverable. All applicable carrying costs, such as interest and real estate taxes, are expensed as incurred.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Land held for sale includes land and lots that do not fit within our homebuilding programs or strategic plans in certain markets, and land is classified as held for sale once certain criteria are met (refer to Note 2 to the consolidated financial statements within our 2025 Annual Report). These assets are recorded at the lower of the carrying value or fair value less cost to sell.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amount of interest we are able to capitalize depends on our qualified inventory balance, which considers the status of our inventory holdings. Our qualified inventory balance includes the majority of our homes under construction and land under development but excludes land held for future development and land held for sale (see Note 5 for additional information on capitalized interest).</w:t>
      </w:r>
    </w:p>
    <w:p>
      <w:pPr>
        <w:pStyle w:val="TextBody"/>
        <w:bidi w:val="0"/>
        <w:spacing w:lineRule="auto" w:line="288" w:before="180" w:after="283"/>
        <w:jc w:val="both"/>
        <w:rPr/>
      </w:pPr>
      <w:r>
        <w:rPr>
          <w:rFonts w:ascii="Times New Roman;serif" w:hAnsi="Times New Roman;serif"/>
          <w:b w:val="false"/>
          <w:color w:val="000000"/>
          <w:sz w:val="20"/>
        </w:rPr>
        <w:t xml:space="preserve">Land not owned under option agreements includes the remaining contractual purchase price for certain land and lot option agreements that we account for as financing arrangements pursuant to ASC Subtopic 470-40, </w:t>
      </w:r>
      <w:r>
        <w:rPr>
          <w:rFonts w:ascii="Times New Roman;serif" w:hAnsi="Times New Roman;serif"/>
          <w:b w:val="false"/>
          <w:i/>
          <w:color w:val="000000"/>
          <w:sz w:val="20"/>
        </w:rPr>
        <w:t>Product Financing Arrangements</w:t>
      </w:r>
      <w:r>
        <w:rPr>
          <w:rFonts w:ascii="Times New Roman;serif" w:hAnsi="Times New Roman;serif"/>
          <w:b w:val="false"/>
          <w:color w:val="000000"/>
          <w:sz w:val="20"/>
        </w:rPr>
        <w:t>, which occurs when we are economically compelled to exercise the option and purchase the land, even though the Company has no direct obligation to pay these future amounts. For these contracts, the remaining purchase price is recorded within land not owned under option agreements with a corresponding liability recorded within obligations related to land not owned under option agreements within other liabilities on our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inventory by reportable segment and Corporate and unallocated is presented in the table below as of March 31, 2026 and September 30, 2025:</w:t>
      </w:r>
    </w:p>
    <w:tbl>
      <w:tblPr>
        <w:tblW w:w="10205" w:type="dxa"/>
        <w:jc w:val="left"/>
        <w:tblInd w:w="0" w:type="dxa"/>
        <w:tblLayout w:type="fixed"/>
        <w:tblCellMar>
          <w:top w:w="28" w:type="dxa"/>
          <w:left w:w="28" w:type="dxa"/>
          <w:bottom w:w="28" w:type="dxa"/>
          <w:right w:w="28" w:type="dxa"/>
        </w:tblCellMar>
      </w:tblPr>
      <w:tblGrid>
        <w:gridCol w:w="908"/>
        <w:gridCol w:w="793"/>
        <w:gridCol w:w="792"/>
        <w:gridCol w:w="211"/>
        <w:gridCol w:w="991"/>
        <w:gridCol w:w="109"/>
        <w:gridCol w:w="109"/>
        <w:gridCol w:w="109"/>
        <w:gridCol w:w="109"/>
        <w:gridCol w:w="517"/>
        <w:gridCol w:w="1810"/>
        <w:gridCol w:w="271"/>
        <w:gridCol w:w="109"/>
        <w:gridCol w:w="109"/>
        <w:gridCol w:w="109"/>
        <w:gridCol w:w="291"/>
        <w:gridCol w:w="1020"/>
        <w:gridCol w:w="150"/>
        <w:gridCol w:w="109"/>
        <w:gridCol w:w="109"/>
        <w:gridCol w:w="109"/>
        <w:gridCol w:w="211"/>
        <w:gridCol w:w="991"/>
        <w:gridCol w:w="159"/>
      </w:tblGrid>
      <w:tr>
        <w:trPr/>
        <w:tc>
          <w:tcPr>
            <w:tcW w:w="90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Projects in</w:t>
            </w:r>
          </w:p>
          <w:p>
            <w:pPr>
              <w:pStyle w:val="TableContents"/>
              <w:bidi w:val="0"/>
              <w:spacing w:lineRule="auto" w:line="240" w:before="0" w:after="0"/>
              <w:jc w:val="center"/>
              <w:rPr/>
            </w:pPr>
            <w:r>
              <w:rPr>
                <w:rFonts w:ascii="Times New Roman;serif" w:hAnsi="Times New Roman;serif"/>
                <w:b/>
                <w:color w:val="000000"/>
                <w:sz w:val="16"/>
              </w:rPr>
              <w:t>Progress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Held for Future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Inventory</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March 31, 2026</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1,009,839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53,135</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1,066,457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7,200</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454,118</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Southeast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5,437</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495,287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Corporate and unallocated</w:t>
            </w:r>
            <w:r>
              <w:rPr>
                <w:rFonts w:ascii="Times New Roman;serif" w:hAnsi="Times New Roman;serif"/>
                <w:b/>
                <w:color w:val="000000"/>
                <w:sz w:val="13"/>
              </w:rPr>
              <w:t>(b)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237,010</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2,167,611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65,772</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2,252,872</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September 30, 2025</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Projects in progress include homes under construction, land under development, capitalized interest, model homes, and land not owned under option agreements categories from the preceding table.</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 xml:space="preserve">Projects in progress amount include capitalized interest and indirect costs that are maintained within Corporate and unallocated.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Inventory Impairments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Inventory assets are assessed for recoverability periodically in accordance with the policies described in Notes 2 and 4 to the consolidated financial statements within our 2025 Annual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by reportable segment and Corporate and unallocated, our total impairment and abandonment charges for the periods presented:</w:t>
      </w:r>
    </w:p>
    <w:tbl>
      <w:tblPr>
        <w:tblW w:w="9036" w:type="dxa"/>
        <w:jc w:val="left"/>
        <w:tblInd w:w="0" w:type="dxa"/>
        <w:tblLayout w:type="fixed"/>
        <w:tblCellMar>
          <w:top w:w="28" w:type="dxa"/>
          <w:left w:w="28" w:type="dxa"/>
          <w:bottom w:w="28" w:type="dxa"/>
          <w:right w:w="28" w:type="dxa"/>
        </w:tblCellMar>
      </w:tblPr>
      <w:tblGrid>
        <w:gridCol w:w="1472"/>
        <w:gridCol w:w="1295"/>
        <w:gridCol w:w="1298"/>
        <w:gridCol w:w="245"/>
        <w:gridCol w:w="734"/>
        <w:gridCol w:w="126"/>
        <w:gridCol w:w="126"/>
        <w:gridCol w:w="126"/>
        <w:gridCol w:w="126"/>
        <w:gridCol w:w="245"/>
        <w:gridCol w:w="542"/>
        <w:gridCol w:w="126"/>
        <w:gridCol w:w="109"/>
        <w:gridCol w:w="109"/>
        <w:gridCol w:w="109"/>
        <w:gridCol w:w="225"/>
        <w:gridCol w:w="673"/>
        <w:gridCol w:w="116"/>
        <w:gridCol w:w="116"/>
        <w:gridCol w:w="116"/>
        <w:gridCol w:w="116"/>
        <w:gridCol w:w="225"/>
        <w:gridCol w:w="497"/>
        <w:gridCol w:w="164"/>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Projects in Progress: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charges on projects in progress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Land Held for Sale:</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charges on land held for sale</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Abandonments:</w:t>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abandonments charges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and abandonment charges</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3,665</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 xml:space="preserve">(a) </w:t>
      </w:r>
      <w:r>
        <w:rPr>
          <w:rFonts w:ascii="Times New Roman;serif" w:hAnsi="Times New Roman;serif"/>
          <w:b w:val="false"/>
          <w:color w:val="000000"/>
          <w:sz w:val="20"/>
          <w:shd w:fill="FFFFFF" w:val="clear"/>
        </w:rPr>
        <w:t>Amount represents capitalized interest and indirects balance that was impaired. Capitalized interest and indirects are maintained within Corporate and unallocated.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Projects in Progress Impairments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Projects in progress inventory includes homes under construction and land under development grouped together as communities. Projects in progress are stated at cost unless facts and circumstances indicate that the carrying value of the assets may not be recoverable.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assess our projects in progress inventory for indicators of impairment at the community level on a quarterly basis. If indicators of impairment are present for a community with more than ten homes remaining to close, we perform a recoverability test by comparing the expected undiscounted cash flows for the community to its carrying value. If the aggregate undiscounted cash flows are in excess of the carrying value, the asset is considered to be recoverable and is not impaired. If the carrying value exceeds the aggregate undiscounted cash flows, we perform a discounted cash flow analysis to determine the fair value of the community, and impairment charges are recorded if the fair value of the community's inventory is less than its carrying value.</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Valuation assumptions for communities tested for impairment are specific to each community. For projects in progress impaired during the periods presented, we determined the fair value of each community by discounting its estimated future cash flows at a rate commensurate with the risks associated with the underlying community. The discount rate used depends on (1) community specific factors such as product types, development stage and expected duration of the project, and competitive factors influencing the sales performance of the community, (2) local market factors such as employment levels, consumer confidence and existing supply of new and used homes for sale, and (3) other specific factors. The estimated future cash flows for each community were determined based on the expected pace of closings and average sales price less expected costs for land acquisition and land development, direct construction, overhead and interest. The assumptions used in the determination of fair value of projects in progress communities are based on factors known to us at the time such estimates are made and our expectations of future operations and market conditions. Due to uncertainties in the estimation process, the significant volatility in market conditions, the long life cycles of many communities, and potential changes in our strategy related to certain communities, actual results could differ significantly from our estimates.</w:t>
      </w:r>
    </w:p>
    <w:p>
      <w:pPr>
        <w:pStyle w:val="TextBody"/>
        <w:bidi w:val="0"/>
        <w:spacing w:lineRule="auto" w:line="288" w:before="180" w:after="283"/>
        <w:jc w:val="both"/>
        <w:rPr/>
      </w:pPr>
      <w:r>
        <w:rPr>
          <w:rFonts w:ascii="Times New Roman;serif" w:hAnsi="Times New Roman;serif"/>
          <w:b w:val="false"/>
          <w:color w:val="000000"/>
          <w:sz w:val="20"/>
          <w:shd w:fill="FFFFFF" w:val="clear"/>
        </w:rPr>
        <w:t>During the three and six months ended March 31, 2026, we performed a discounted cash flow analysis to determine the fair value o</w:t>
      </w:r>
      <w:r>
        <w:rPr>
          <w:rFonts w:ascii="Times New Roman;serif" w:hAnsi="Times New Roman;serif"/>
          <w:b w:val="false"/>
          <w:color w:val="000000"/>
          <w:sz w:val="20"/>
        </w:rPr>
        <w:t xml:space="preserve">f one project in progress community located in our Houston market. </w:t>
      </w:r>
      <w:r>
        <w:rPr>
          <w:rFonts w:ascii="Times New Roman;serif" w:hAnsi="Times New Roman;serif"/>
          <w:b w:val="false"/>
          <w:color w:val="000000"/>
          <w:sz w:val="20"/>
          <w:shd w:fill="FFFFFF" w:val="clear"/>
        </w:rPr>
        <w:t xml:space="preserve">This analysis led to a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projects in progress impairment charge,</w:t>
      </w:r>
      <w:r>
        <w:rPr>
          <w:color w:val="000000"/>
        </w:rPr>
        <w:t xml:space="preserve"> </w:t>
      </w:r>
      <w:r>
        <w:rPr>
          <w:rFonts w:ascii="Times New Roman;serif" w:hAnsi="Times New Roman;serif"/>
          <w:b w:val="false"/>
          <w:color w:val="000000"/>
          <w:sz w:val="20"/>
        </w:rPr>
        <w:t>principally due to a reduction in price driven by the competitive market dynamics.</w:t>
      </w:r>
      <w:r>
        <w:rPr>
          <w:color w:val="000000"/>
          <w:shd w:fill="FFFFFF" w:val="clear"/>
        </w:rPr>
        <w:t xml:space="preserve"> </w:t>
      </w:r>
      <w:r>
        <w:rPr>
          <w:rFonts w:ascii="Times New Roman;serif" w:hAnsi="Times New Roman;serif"/>
          <w:b w:val="false"/>
          <w:color w:val="000000"/>
          <w:sz w:val="20"/>
          <w:shd w:fill="FFFFFF" w:val="clear"/>
        </w:rPr>
        <w:t xml:space="preserve">No projects in progress impairments were recognized during the </w:t>
      </w:r>
      <w:r>
        <w:rPr>
          <w:rFonts w:ascii="Times New Roman;serif" w:hAnsi="Times New Roman;serif"/>
          <w:b w:val="false"/>
          <w:color w:val="000000"/>
          <w:sz w:val="20"/>
        </w:rPr>
        <w:t>three and six months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by reportable segment and Corporate and unallocated details of the impairment charges taken on projects in progress for the period presented:</w:t>
      </w:r>
    </w:p>
    <w:tbl>
      <w:tblPr>
        <w:tblW w:w="10205" w:type="dxa"/>
        <w:jc w:val="left"/>
        <w:tblInd w:w="0" w:type="dxa"/>
        <w:tblLayout w:type="fixed"/>
        <w:tblCellMar>
          <w:top w:w="28" w:type="dxa"/>
          <w:left w:w="28" w:type="dxa"/>
          <w:bottom w:w="28" w:type="dxa"/>
          <w:right w:w="28" w:type="dxa"/>
        </w:tblCellMar>
      </w:tblPr>
      <w:tblGrid>
        <w:gridCol w:w="875"/>
        <w:gridCol w:w="639"/>
        <w:gridCol w:w="640"/>
        <w:gridCol w:w="523"/>
        <w:gridCol w:w="523"/>
        <w:gridCol w:w="525"/>
        <w:gridCol w:w="109"/>
        <w:gridCol w:w="109"/>
        <w:gridCol w:w="109"/>
        <w:gridCol w:w="370"/>
        <w:gridCol w:w="370"/>
        <w:gridCol w:w="372"/>
        <w:gridCol w:w="109"/>
        <w:gridCol w:w="109"/>
        <w:gridCol w:w="109"/>
        <w:gridCol w:w="282"/>
        <w:gridCol w:w="825"/>
        <w:gridCol w:w="147"/>
        <w:gridCol w:w="109"/>
        <w:gridCol w:w="109"/>
        <w:gridCol w:w="109"/>
        <w:gridCol w:w="670"/>
        <w:gridCol w:w="1961"/>
        <w:gridCol w:w="502"/>
      </w:tblGrid>
      <w:tr>
        <w:trPr/>
        <w:tc>
          <w:tcPr>
            <w:tcW w:w="87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80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Results of Impairment Analysis</w:t>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Communities Impaired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Lots Impaired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 Charge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Estimated Fair Value of Impaired Inventory at Time of Impairment</w:t>
            </w:r>
            <w:r>
              <w:rPr>
                <w:rFonts w:ascii="Times New Roman;serif" w:hAnsi="Times New Roman;serif"/>
                <w:b/>
                <w:color w:val="000000"/>
                <w:sz w:val="10"/>
              </w:rPr>
              <w:t>(b)</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March 31, 2026</w:t>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3" w:type="dxa"/>
            <w:gridSpan w:val="3"/>
            <w:tcBorders/>
            <w:vAlign w:val="center"/>
          </w:tcPr>
          <w:p>
            <w:pPr>
              <w:pStyle w:val="TableContents"/>
              <w:bidi w:val="0"/>
              <w:spacing w:before="0" w:after="283"/>
              <w:jc w:val="left"/>
              <w:rPr>
                <w:sz w:val="4"/>
                <w:szCs w:val="4"/>
              </w:rPr>
            </w:pPr>
            <w:r>
              <w:rPr>
                <w:sz w:val="4"/>
                <w:szCs w:val="4"/>
              </w:rPr>
            </w:r>
          </w:p>
        </w:tc>
      </w:tr>
      <w:tr>
        <w:trPr/>
        <w:tc>
          <w:tcPr>
            <w:tcW w:w="2154"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3" w:type="dxa"/>
            <w:gridSpan w:val="3"/>
            <w:tcBorders/>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Amount represents the capitalized interest and indirects balances that were impaired. Capitalized interest and indirects are maintained within Corporate and unallocated.</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Projects in progress assets are measured at fair value on a non-recurring basis when events and circumstances indicate that their carrying value is not recoverable. The fair val</w:t>
      </w:r>
      <w:r>
        <w:rPr>
          <w:rFonts w:ascii="Times New Roman;serif" w:hAnsi="Times New Roman;serif"/>
          <w:b w:val="false"/>
          <w:color w:val="000000"/>
          <w:sz w:val="20"/>
          <w:shd w:fill="FFFFFF" w:val="clear"/>
        </w:rPr>
        <w:t xml:space="preserve">ue of projects in progress is determined using Level 3 unobservable inputs. Refer to Note 9 for further discussion of our fair value measurements and hierarchy levels.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ranges or values of significant quantitative unobservable inputs we used in determining the fair value of the communities impaired during the period presented:</w:t>
      </w:r>
    </w:p>
    <w:tbl>
      <w:tblPr>
        <w:tblW w:w="5834" w:type="dxa"/>
        <w:jc w:val="left"/>
        <w:tblInd w:w="0" w:type="dxa"/>
        <w:tblLayout w:type="fixed"/>
        <w:tblCellMar>
          <w:top w:w="28" w:type="dxa"/>
          <w:left w:w="28" w:type="dxa"/>
          <w:bottom w:w="28" w:type="dxa"/>
          <w:right w:w="28" w:type="dxa"/>
        </w:tblCellMar>
      </w:tblPr>
      <w:tblGrid>
        <w:gridCol w:w="1080"/>
        <w:gridCol w:w="950"/>
        <w:gridCol w:w="955"/>
        <w:gridCol w:w="581"/>
        <w:gridCol w:w="581"/>
        <w:gridCol w:w="1687"/>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Unobservable Inputs</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selling price</w:t>
            </w:r>
          </w:p>
        </w:tc>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Closings per community per month</w:t>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1 - 3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Land Held for Sale Impairments</w:t>
      </w:r>
    </w:p>
    <w:p>
      <w:pPr>
        <w:pStyle w:val="TextBody"/>
        <w:bidi w:val="0"/>
        <w:spacing w:lineRule="auto" w:line="288" w:before="180" w:after="283"/>
        <w:jc w:val="both"/>
        <w:rPr/>
      </w:pPr>
      <w:r>
        <w:rPr>
          <w:rFonts w:ascii="Times New Roman;serif" w:hAnsi="Times New Roman;serif"/>
          <w:b w:val="false"/>
          <w:color w:val="000000"/>
          <w:sz w:val="20"/>
        </w:rPr>
        <w:t xml:space="preserve">We evaluate the fair value less cost to sell of a land held for sale asset when indicators of impairment are present. </w:t>
      </w:r>
      <w:r>
        <w:rPr>
          <w:rFonts w:ascii="Times New Roman;serif" w:hAnsi="Times New Roman;serif"/>
          <w:b w:val="false"/>
          <w:color w:val="000000"/>
          <w:sz w:val="20"/>
          <w:shd w:fill="FFFFFF" w:val="clear"/>
        </w:rPr>
        <w:t xml:space="preserve">Impairments on land held for sale generally represent write downs of these properties from their carrying values to estimated fair value less cost to sell </w:t>
      </w:r>
      <w:r>
        <w:rPr>
          <w:rFonts w:ascii="Times New Roman;serif" w:hAnsi="Times New Roman;serif"/>
          <w:b w:val="false"/>
          <w:color w:val="000000"/>
          <w:sz w:val="20"/>
        </w:rPr>
        <w:t>based on executed sales contracts, current sales prices for comparable assets in the area, recent market analysis studies, appraisals, recent legitimate offers and listing prices of similar properties, as applicable.</w:t>
      </w:r>
      <w:r>
        <w:rPr>
          <w:color w:val="000000"/>
          <w:shd w:fill="FFFFFF" w:val="clear"/>
        </w:rPr>
        <w:t xml:space="preserve"> </w:t>
      </w:r>
      <w:r>
        <w:rPr>
          <w:rFonts w:ascii="Times New Roman;serif" w:hAnsi="Times New Roman;serif"/>
          <w:b w:val="false"/>
          <w:color w:val="000000"/>
          <w:sz w:val="20"/>
          <w:shd w:fill="FFFFFF" w:val="clear"/>
        </w:rPr>
        <w:t>Absent an executed sales contract, our assumptions related to land sales prices are based on factors known to us at the time such estimates are made and require significant judgment because the real estate market is highly sensitive to changes in economic conditions, and our estimates of sale prices could differ significantly from actual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 land held for sale impairments were recognized for the three months ended March 31, 2026. During the six months ended March 31, 2026, we recognized $1.0 million land held for sale impairment charges related to two communities in our West and East segments. Estimated fair value less selling cost for these impaired assets at the time of impairment was $14.0 million. The fair values of the impaired land held for sale assets were determined using Level 3 unobservable inputs. No land held for sale impairments were recognized during the three and six months ended March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Abandonments</w:t>
      </w:r>
    </w:p>
    <w:p>
      <w:pPr>
        <w:pStyle w:val="TextBody"/>
        <w:bidi w:val="0"/>
        <w:spacing w:lineRule="auto" w:line="288" w:before="180" w:after="283"/>
        <w:jc w:val="both"/>
        <w:rPr/>
      </w:pPr>
      <w:r>
        <w:rPr>
          <w:rFonts w:ascii="Times New Roman;serif" w:hAnsi="Times New Roman;serif"/>
          <w:b w:val="false"/>
          <w:color w:val="000000"/>
          <w:sz w:val="20"/>
        </w:rPr>
        <w:t xml:space="preserve">From time to time, we may determine to abandon lots or not exercise certain option agreements that are not projected to produce adequate results or no longer fit with our long-term strategic plan. Additionally, in certain limited instances, we are forced to abandon lots due to seller non-performance, permitting or other regulatory issues that do not allow us to build on those lots. If we intend to no longer pursue the purchase of </w:t>
      </w:r>
      <w:r>
        <w:rPr>
          <w:rFonts w:ascii="Times New Roman;serif" w:hAnsi="Times New Roman;serif"/>
          <w:b w:val="false"/>
          <w:color w:val="000000"/>
          <w:sz w:val="20"/>
          <w:shd w:fill="FFFFFF" w:val="clear"/>
        </w:rPr>
        <w:t xml:space="preserve">property, we record an abandonment charge to earnings for the non-refundable deposit amount and any related capitalized costs in the period such decision is made.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 abandonment charges were recognized during the three months ended March 31, 2026. During the six months ended March 31, 2026, we recognized $1.3 million of abandonment charges. During the three and six months ended March 31, 2025, we recognized $0.5 million of abandonment charges. As we grow our business in the years ahead, the dollar value of abandonment charges may also grow.</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Lot Option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purchasing land directly, we utilize lot option agreements that enable us to defer acquiring portions of properties owned by third parties and unconsolidated entities until we have determined whether to exercise our lot option. The majority of our lot option agreements require a non-refundable cash deposit or issuance of an irrevocable letter of credit or surety bond based on a percentage of the purchase price of the land for the right to acquire lots during a specified period at a specified price. Purchase of the properties under these agreements is contingent upon satisfaction of certain requirements by us and the sellers. Under lot option agreements, our liability is generally limited to forfeiture of the non-refundable deposits, letters of credit or surety bonds, and other non-refundable amounts incurred. If the Company cancels a lot option agreement, the cancellation would result in a write-off of the related deposits and pre-acquisition costs but would not expose the Company to the overall risks or losses of the applicable entity we are purchasing from. We expect to exercise, subject to market conditions and seller satisfaction of contract terms, most of our remaining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interests in lot option agreements as of March 31, 2026 and September 30, 2025:</w:t>
      </w:r>
    </w:p>
    <w:tbl>
      <w:tblPr>
        <w:tblW w:w="9513" w:type="dxa"/>
        <w:jc w:val="center"/>
        <w:tblInd w:w="0" w:type="dxa"/>
        <w:tblLayout w:type="fixed"/>
        <w:tblCellMar>
          <w:top w:w="28" w:type="dxa"/>
          <w:left w:w="28" w:type="dxa"/>
          <w:bottom w:w="28" w:type="dxa"/>
          <w:right w:w="28" w:type="dxa"/>
        </w:tblCellMar>
      </w:tblPr>
      <w:tblGrid>
        <w:gridCol w:w="1920"/>
        <w:gridCol w:w="1687"/>
        <w:gridCol w:w="1703"/>
        <w:gridCol w:w="270"/>
        <w:gridCol w:w="1270"/>
        <w:gridCol w:w="139"/>
        <w:gridCol w:w="109"/>
        <w:gridCol w:w="109"/>
        <w:gridCol w:w="109"/>
        <w:gridCol w:w="315"/>
        <w:gridCol w:w="1457"/>
        <w:gridCol w:w="162"/>
        <w:gridCol w:w="109"/>
        <w:gridCol w:w="154"/>
      </w:tblGrid>
      <w:tr>
        <w:trPr/>
        <w:tc>
          <w:tcPr>
            <w:tcW w:w="192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Deposits and non-refundable pre-acquisition costs incurred</w:t>
            </w:r>
            <w:r>
              <w:rPr>
                <w:rFonts w:ascii="Times New Roman;serif" w:hAnsi="Times New Roman;serif"/>
                <w:b w:val="false"/>
                <w:color w:val="000000"/>
                <w:sz w:val="13"/>
              </w:rPr>
              <w:t>(a)</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373,439</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purchase price if lot option agreements are exercised</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1,639,210</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Amount is included as a component of land under development and land not owned under option agreements within our inventory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Interest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capitalized during the three and six months ended March 31, 2026 and 2025 was based upon the balance of inventory eligible for capitalization. The following table presents certain information regarding interest for the periods presented:</w:t>
      </w:r>
    </w:p>
    <w:tbl>
      <w:tblPr>
        <w:tblW w:w="10205" w:type="dxa"/>
        <w:jc w:val="left"/>
        <w:tblInd w:w="0" w:type="dxa"/>
        <w:tblLayout w:type="fixed"/>
        <w:tblCellMar>
          <w:top w:w="28" w:type="dxa"/>
          <w:left w:w="28" w:type="dxa"/>
          <w:bottom w:w="28" w:type="dxa"/>
          <w:right w:w="28" w:type="dxa"/>
        </w:tblCellMar>
      </w:tblPr>
      <w:tblGrid>
        <w:gridCol w:w="1665"/>
        <w:gridCol w:w="1443"/>
        <w:gridCol w:w="1456"/>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66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139,678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131,845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incurred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impaired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Capitalized interest amortized to home construction and land sales expenses</w:t>
            </w:r>
            <w:r>
              <w:rPr>
                <w:rFonts w:ascii="Times New Roman;serif" w:hAnsi="Times New Roman;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Capitalized interest amortized to home construction and land sales expenses varies based on the number of homes closed during the period and land sales, if any, as well as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Borrowings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debt, net of unamortized debt issuance costs consisted of the following as of March 31, 2026 and September 30, 2025:</w:t>
      </w:r>
    </w:p>
    <w:tbl>
      <w:tblPr>
        <w:tblW w:w="10205" w:type="dxa"/>
        <w:jc w:val="left"/>
        <w:tblInd w:w="0" w:type="dxa"/>
        <w:tblLayout w:type="fixed"/>
        <w:tblCellMar>
          <w:top w:w="28" w:type="dxa"/>
          <w:left w:w="28" w:type="dxa"/>
          <w:bottom w:w="28" w:type="dxa"/>
          <w:right w:w="28" w:type="dxa"/>
        </w:tblCellMar>
      </w:tblPr>
      <w:tblGrid>
        <w:gridCol w:w="2099"/>
        <w:gridCol w:w="1728"/>
        <w:gridCol w:w="1733"/>
        <w:gridCol w:w="397"/>
        <w:gridCol w:w="397"/>
        <w:gridCol w:w="399"/>
        <w:gridCol w:w="109"/>
        <w:gridCol w:w="109"/>
        <w:gridCol w:w="109"/>
        <w:gridCol w:w="211"/>
        <w:gridCol w:w="991"/>
        <w:gridCol w:w="109"/>
        <w:gridCol w:w="109"/>
        <w:gridCol w:w="109"/>
        <w:gridCol w:w="109"/>
        <w:gridCol w:w="233"/>
        <w:gridCol w:w="1080"/>
        <w:gridCol w:w="174"/>
      </w:tblGrid>
      <w:tr>
        <w:trPr/>
        <w:tc>
          <w:tcPr>
            <w:tcW w:w="209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5.875% Senior Notes (2027 Notes)</w:t>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357,255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357,255 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7.250% Senior Notes (2029 Notes)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Senior Notes (2031 Notes)</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Notes, net</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951,493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950,644 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Junior Subordinated Notes (net of unamortized accretion of $21,270 and $22,303, respectively)</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Revolving Credit Facility</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1,225,996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1,029,114 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Senior Unsecured Revolving Credit Facility</w:t>
      </w:r>
    </w:p>
    <w:p>
      <w:pPr>
        <w:pStyle w:val="TextBody"/>
        <w:bidi w:val="0"/>
        <w:spacing w:lineRule="auto" w:line="288" w:before="180" w:after="283"/>
        <w:jc w:val="both"/>
        <w:rPr/>
      </w:pPr>
      <w:r>
        <w:rPr>
          <w:rFonts w:ascii="Times New Roman;serif" w:hAnsi="Times New Roman;serif"/>
          <w:b w:val="false"/>
          <w:color w:val="000000"/>
          <w:sz w:val="20"/>
          <w:shd w:fill="FFFFFF" w:val="clear"/>
        </w:rPr>
        <w:t>The Senior Unsecured Revolving Credit Facility (Unsecured Facility)</w:t>
      </w:r>
      <w:r>
        <w:rPr>
          <w:color w:val="000000"/>
        </w:rPr>
        <w:t xml:space="preserve"> </w:t>
      </w:r>
      <w:r>
        <w:rPr>
          <w:rFonts w:ascii="Times New Roman;serif" w:hAnsi="Times New Roman;serif"/>
          <w:b w:val="false"/>
          <w:color w:val="000000"/>
          <w:sz w:val="20"/>
        </w:rPr>
        <w:t xml:space="preserve">provides working capital and letter of credit capacity. In March 2026, the Company </w:t>
      </w:r>
      <w:r>
        <w:rPr>
          <w:rFonts w:ascii="Times New Roman;serif" w:hAnsi="Times New Roman;serif"/>
          <w:b w:val="false"/>
          <w:color w:val="000000"/>
          <w:sz w:val="20"/>
          <w:shd w:fill="FFFFFF" w:val="clear"/>
        </w:rPr>
        <w:t>executed an amendment</w:t>
      </w:r>
      <w:r>
        <w:rPr>
          <w:color w:val="000000"/>
        </w:rPr>
        <w:t xml:space="preserve"> </w:t>
      </w:r>
      <w:r>
        <w:rPr>
          <w:rFonts w:ascii="Times New Roman;serif" w:hAnsi="Times New Roman;serif"/>
          <w:b w:val="false"/>
          <w:color w:val="000000"/>
          <w:sz w:val="20"/>
        </w:rPr>
        <w:t>to increase its available borrowing capacity under the Unsecured Facility from $365.0 million to $525.0 million.</w:t>
      </w:r>
      <w:r>
        <w:rPr>
          <w:color w:val="000000"/>
          <w:shd w:fill="FFFFFF" w:val="clear"/>
        </w:rPr>
        <w:t xml:space="preserve"> </w:t>
      </w:r>
      <w:r>
        <w:rPr>
          <w:rFonts w:ascii="Times New Roman;serif" w:hAnsi="Times New Roman;serif"/>
          <w:b w:val="false"/>
          <w:color w:val="000000"/>
          <w:sz w:val="20"/>
        </w:rPr>
        <w:t xml:space="preserve">The $525.0 million borrowing capacity includes a letter of credit facility of up to $100.0 million.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Company will have the right from time to time to request to i</w:t>
      </w:r>
      <w:r>
        <w:rPr>
          <w:rFonts w:ascii="Times New Roman;serif" w:hAnsi="Times New Roman;serif"/>
          <w:b w:val="false"/>
          <w:color w:val="000000"/>
          <w:sz w:val="20"/>
          <w:shd w:fill="FFFFFF" w:val="clear"/>
        </w:rPr>
        <w:t xml:space="preserve">ncrease the size of the commitments under the Unsecured Facility by up to $100.0 million for a maximum of $625.0 million. The Company also extended the termination date (Termination Date) from March 15, 2028 to March 13, 2030. The Company may borrow, repay, and reborrow amounts under the Unsecured Facility until the Termination Date. </w:t>
      </w:r>
    </w:p>
    <w:p>
      <w:pPr>
        <w:pStyle w:val="TextBody"/>
        <w:bidi w:val="0"/>
        <w:spacing w:lineRule="auto" w:line="288" w:before="180" w:after="283"/>
        <w:jc w:val="both"/>
        <w:rPr/>
      </w:pPr>
      <w:r>
        <w:rPr>
          <w:rFonts w:ascii="Times New Roman;serif" w:hAnsi="Times New Roman;serif"/>
          <w:b w:val="false"/>
          <w:color w:val="000000"/>
          <w:sz w:val="20"/>
        </w:rPr>
        <w:t>Borrowings under the Unsecured Facility bear interest, at our option, at either (i) a s</w:t>
      </w:r>
      <w:r>
        <w:rPr>
          <w:rFonts w:ascii="Times New Roman;serif" w:hAnsi="Times New Roman;serif"/>
          <w:b w:val="false"/>
          <w:color w:val="000000"/>
          <w:sz w:val="20"/>
          <w:shd w:fill="FFFFFF" w:val="clear"/>
        </w:rPr>
        <w:t>ecured overnight financing rate (SOFR)</w:t>
      </w:r>
      <w:r>
        <w:rPr>
          <w:color w:val="000000"/>
        </w:rPr>
        <w:t xml:space="preserve"> </w:t>
      </w:r>
      <w:r>
        <w:rPr>
          <w:rFonts w:ascii="Times New Roman;serif" w:hAnsi="Times New Roman;serif"/>
          <w:b w:val="false"/>
          <w:color w:val="000000"/>
          <w:sz w:val="20"/>
        </w:rPr>
        <w:t xml:space="preserve">plus an applicable margin ranging from 2.15% to 2.90% per annum or (ii) an alternate base rate (ABR) plus an applicable margin ranging from 1.15% to 1.90% per annum. Commitment fees on the unused portion of the facility range from 0.25% to 0.40% per annum. The applicable margin and the commitment fees vary based on the Company's leverage ratio, </w:t>
      </w:r>
      <w:r>
        <w:rPr>
          <w:rFonts w:ascii="Times New Roman;serif" w:hAnsi="Times New Roman;serif"/>
          <w:b w:val="false"/>
          <w:color w:val="000000"/>
          <w:sz w:val="20"/>
          <w:shd w:fill="FFFFFF" w:val="clear"/>
        </w:rPr>
        <w:t>as defined under the Unsecured Facility</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Substantially all of the Company's significant subsidiaries are full and unconditional guarantors of the Unsecured Facility and are jointly and severally liable for obligations under the Unsecured Facility. For additional discussion of the Unsecured Facility, refer to Note 7 to the consolidated financial statements within our 2025 Annual Report.</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As of March 31, 2026, we had $195.0 million in borrowings and $45.3 million in letters of credit outstanding under the Unsecured Facility, resulting in a remaining capacity of </w:t>
      </w:r>
      <w:r>
        <w:rPr>
          <w:rFonts w:ascii="Times New Roman;serif" w:hAnsi="Times New Roman;serif"/>
          <w:b w:val="false"/>
          <w:color w:val="000000"/>
          <w:sz w:val="20"/>
        </w:rPr>
        <w:t>$284.7 million</w:t>
      </w:r>
      <w:r>
        <w:rPr>
          <w:rFonts w:ascii="Times New Roman;serif" w:hAnsi="Times New Roman;serif"/>
          <w:b w:val="false"/>
          <w:color w:val="000000"/>
          <w:sz w:val="20"/>
          <w:shd w:fill="FFFFFF" w:val="clear"/>
        </w:rPr>
        <w:t xml:space="preserve">. The weighted-average interest rate on outstanding borrowings as of March 31, 2026 was </w:t>
      </w:r>
      <w:r>
        <w:rPr>
          <w:rFonts w:ascii="Times New Roman;serif" w:hAnsi="Times New Roman;serif"/>
          <w:b w:val="false"/>
          <w:color w:val="000000"/>
          <w:sz w:val="20"/>
        </w:rPr>
        <w:t>8.01%</w:t>
      </w:r>
      <w:r>
        <w:rPr>
          <w:rFonts w:ascii="Times New Roman;serif" w:hAnsi="Times New Roman;serif"/>
          <w:b w:val="false"/>
          <w:color w:val="000000"/>
          <w:sz w:val="20"/>
          <w:shd w:fill="FFFFFF" w:val="clear"/>
        </w:rPr>
        <w:t>. The Unsecured Facility requires compliance with certain covenants, including affirmative covenants, negative covenants and financial covenants. As of March 31, 2026, the Company believes it was in compliance with all such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senior notes (Senior Notes) are unsecured obligations that rank equally in right of payment with all existing and future senior unsecured obligations, senior to all of the Company's existing and future subordinated indebtedness, and effectively subordinated to the Company's future secured indebtedness, to the extent of the value of the assets securing such indebtedness. Substantially all of the Company's significant subsidiaries are full and unconditional guarantors of the Senior Notes and are jointly and severally liable for obligations under the Senior Notes. Each guarantor subsidiary is a wholly owned subsidiary of Beazer Homes. The Senior Notes and related guarantees are structurally subordinated to all indebtedness and other liabilities of all of the Company's subsidiaries that do not guarantee these notes.</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Company's Senior Notes are issued under indentures that contain certai</w:t>
      </w:r>
      <w:r>
        <w:rPr>
          <w:rFonts w:ascii="Times New Roman;serif" w:hAnsi="Times New Roman;serif"/>
          <w:b w:val="false"/>
          <w:color w:val="000000"/>
          <w:sz w:val="20"/>
        </w:rPr>
        <w:t>n restrictive covenants which, among other things, restrict our ability to pay dividends, repurchase our common stock, incur certain types of additional indebtedness, and make certain investments. Compliance with the Senior Note covenants does not significantly impact the Company's operations. The Company believes it was in compliance with the covenants contained in the indentures of all of its Senior Notes as of March 31,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 debt repurchases were made during the three and six months ended March 31, 2026 and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redemption features, refer to the table below that summarizes the redemption terms of our Senior Notes:</w:t>
      </w:r>
    </w:p>
    <w:tbl>
      <w:tblPr>
        <w:tblW w:w="10205" w:type="dxa"/>
        <w:jc w:val="left"/>
        <w:tblInd w:w="0" w:type="dxa"/>
        <w:tblLayout w:type="fixed"/>
        <w:tblCellMar>
          <w:top w:w="28" w:type="dxa"/>
          <w:left w:w="28" w:type="dxa"/>
          <w:bottom w:w="28" w:type="dxa"/>
          <w:right w:w="28" w:type="dxa"/>
        </w:tblCellMar>
      </w:tblPr>
      <w:tblGrid>
        <w:gridCol w:w="375"/>
        <w:gridCol w:w="330"/>
        <w:gridCol w:w="332"/>
        <w:gridCol w:w="109"/>
        <w:gridCol w:w="109"/>
        <w:gridCol w:w="109"/>
        <w:gridCol w:w="411"/>
        <w:gridCol w:w="336"/>
        <w:gridCol w:w="260"/>
        <w:gridCol w:w="109"/>
        <w:gridCol w:w="109"/>
        <w:gridCol w:w="109"/>
        <w:gridCol w:w="270"/>
        <w:gridCol w:w="270"/>
        <w:gridCol w:w="271"/>
        <w:gridCol w:w="109"/>
        <w:gridCol w:w="109"/>
        <w:gridCol w:w="109"/>
        <w:gridCol w:w="1957"/>
        <w:gridCol w:w="1823"/>
        <w:gridCol w:w="258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Note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Redemption Terms</w:t>
            </w:r>
          </w:p>
        </w:tc>
      </w:tr>
      <w:tr>
        <w:trPr/>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9" w:type="dxa"/>
            <w:gridSpan w:val="3"/>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5.875%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Callable at any time prior to October 15, 2022, in whole or in part, at a redemption price equal to 100.000% of the principal amount, plus a customary make-whole premium; on or after October 15, 2022, callable at a redemption price equal to 102.938% of the principal amount; on or after October 15, 2023, callable at a redemption price equal to 101.958% of the principal amount; on or after October 15, 2024, callable at a redemption price equal to 100.979% of the principal amount; on or after October 15, 2025, callable at a redemption price equal to 100.000% of the principal amount, plus, in each case, accrued and unpaid interest.</w:t>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Callable at any time prior to October 15, 2024, in whole or in part, at a redemption price equal to 100.000% of the principal amount, plus a customary make-whole premium; on or after October 15, 2024, callable at a redemption price equal to 103.625% of the principal amount; on or after October 15, 2025, callable at a redemption price equal to 102.417% of the principal amount; on or after October 15, 2026, callable at a redemption price equal to 101.208% of the principal amount; on or after October 15, 2027, callable at a redemption price equal to 100.000% of the principal amount, plus, in each case, accrued and unpaid interest.</w:t>
            </w:r>
          </w:p>
        </w:tc>
      </w:tr>
      <w:tr>
        <w:trPr/>
        <w:tc>
          <w:tcPr>
            <w:tcW w:w="103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or prior to March 15, 2027, we may redeem up to 35% of the aggregate principal amount of the 2031 Notes with the net cash proceeds of certain equity offerings at a redemption price equal to 107.500% of the principal amount, plus accrued and unpaid interest to, but excluding, the redemption date, provided at least 65% of the aggregate principal amount of the 2031 Notes originally issued remains outstanding immediately after such redemption. </w:t>
            </w:r>
          </w:p>
        </w:tc>
      </w:tr>
      <w:tr>
        <w:trPr/>
        <w:tc>
          <w:tcPr>
            <w:tcW w:w="103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Callable at any time prior to March 15, 2027, in whole or in part, at a redemption price equal to 100.000% of the principal amount, plus a customary make-whole premium; on or after March 15, 2027, callable at a redemption price equal to 103.750% of the principal amount; on or after March 15, 2028, callable at a redemption price equal to 101.875% of the principal amount; on or after March 15, 2029, callable at a redemption price equal to 100.000% of the principal amount, plus, in each case, accrued and unpaid interest.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Junior Subordinated Notes</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Company's unsecured junior subordinated notes (Junior Subordinated Notes) mature on July 30, 2036 and have an aggregate principal balance of $100.8 million as of March 31, 2026. The securities have a floating interest rate as defined in the Junior Subordinated Notes Indentures, wh</w:t>
      </w:r>
      <w:r>
        <w:rPr>
          <w:rFonts w:ascii="Times New Roman;serif" w:hAnsi="Times New Roman;serif"/>
          <w:b w:val="false"/>
          <w:color w:val="0A2299"/>
          <w:sz w:val="20"/>
          <w:shd w:fill="FFFFFF" w:val="clear"/>
        </w:rPr>
        <w:t>i</w:t>
      </w:r>
      <w:r>
        <w:rPr>
          <w:rFonts w:ascii="Times New Roman;serif" w:hAnsi="Times New Roman;serif"/>
          <w:b w:val="false"/>
          <w:color w:val="000000"/>
          <w:sz w:val="20"/>
          <w:shd w:fill="FFFFFF" w:val="clear"/>
        </w:rPr>
        <w:t>ch was a weighted-average of 6.38% as of March 31, 2026. The obligations relating to these notes are subordinated to the Unsecured Facility and the Senior Notes. In January 2010, the Company restructured $75.0 million of these notes (Restructured Notes) and recorded them at their then estimated fair value. Over the remaining life of the Restructured Notes, we will increase their carrying value until this carrying value equals the face value of the notes. As of March 31, 2026, the unamortized accretion was $21.3 million and will be amortized over the remaining life of the Restructured Notes. The remaining $25.8 million of the Junior Subordinated Notes are subject to the terms of the original agreement, have a floating interest rate equal to a three-month SOFR plus 2.71% per annum, resetting quarterly, and are redeemable in whole or in part at par value. The material terms of the $75.0 million Restructured Notes are identical to the terms of the original agreement except that the floating interest rate is subject to a floor of 4.25% and a cap of 9.25%. In addition, beginning on June 1, 2012, the Company has the option to redeem the $75.0 million principal balance in whole or in part at 75% of par value, and beginning on June 1, 2022, the redemption price has increased by 1.785% annually. As of March 31, 2026, the Company believes it was in compliance with all covenants under the Junior Subordinated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(7) Operating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office space and equipment under operating leases for use in our operations. We recognize operating lease expense on a straight-line basis over the lease term. Some of our lease agreements include one or more options to renew. The exercise of lease renewal options is generally at our discretion. Variable lease expense primarily relates to maintenance and other monthly expenses that do not depend on an index or rate.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if an arrangement is a lease at contract inception. Lease and non-lease components are accounted for as a single component for all leases. Operating lease right-of-use assets and liabilities are recognized at the lease commencement date based on the present value of the future lease payments over the expected lease term, which includes optional renewal periods if we determine it is reasonably certain that the option will be exercised. As our leases do not provide an implicit rate, the discount rate used in the present value calculation represents our incremental borrowing rate determined using information available at the commencement date. </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lease expense is included as a component of general and administrative expenses in our condensed consolidated statements of operations. Sublease income and variable lease expenses are de minimis. The following table presents operating lease expense and cash payments on lease liabilities for the periods presented:</w:t>
      </w:r>
    </w:p>
    <w:tbl>
      <w:tblPr>
        <w:tblW w:w="7864" w:type="dxa"/>
        <w:jc w:val="left"/>
        <w:tblInd w:w="0" w:type="dxa"/>
        <w:tblLayout w:type="fixed"/>
        <w:tblCellMar>
          <w:top w:w="28" w:type="dxa"/>
          <w:left w:w="28" w:type="dxa"/>
          <w:bottom w:w="28" w:type="dxa"/>
          <w:right w:w="28" w:type="dxa"/>
        </w:tblCellMar>
      </w:tblPr>
      <w:tblGrid>
        <w:gridCol w:w="1043"/>
        <w:gridCol w:w="917"/>
        <w:gridCol w:w="920"/>
        <w:gridCol w:w="228"/>
        <w:gridCol w:w="684"/>
        <w:gridCol w:w="118"/>
        <w:gridCol w:w="118"/>
        <w:gridCol w:w="118"/>
        <w:gridCol w:w="118"/>
        <w:gridCol w:w="228"/>
        <w:gridCol w:w="668"/>
        <w:gridCol w:w="118"/>
        <w:gridCol w:w="109"/>
        <w:gridCol w:w="109"/>
        <w:gridCol w:w="109"/>
        <w:gridCol w:w="211"/>
        <w:gridCol w:w="631"/>
        <w:gridCol w:w="109"/>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on lease liabilities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At March 31, 2026 and 2025, the weighted-average remaining lease term and discount rate were as follows:</w:t>
      </w:r>
    </w:p>
    <w:tbl>
      <w:tblPr>
        <w:tblW w:w="5708" w:type="dxa"/>
        <w:jc w:val="left"/>
        <w:tblInd w:w="0" w:type="dxa"/>
        <w:tblLayout w:type="fixed"/>
        <w:tblCellMar>
          <w:top w:w="28" w:type="dxa"/>
          <w:left w:w="28" w:type="dxa"/>
          <w:bottom w:w="28" w:type="dxa"/>
          <w:right w:w="28" w:type="dxa"/>
        </w:tblCellMar>
      </w:tblPr>
      <w:tblGrid>
        <w:gridCol w:w="1207"/>
        <w:gridCol w:w="1059"/>
        <w:gridCol w:w="1064"/>
        <w:gridCol w:w="109"/>
        <w:gridCol w:w="109"/>
        <w:gridCol w:w="288"/>
        <w:gridCol w:w="288"/>
        <w:gridCol w:w="294"/>
        <w:gridCol w:w="140"/>
        <w:gridCol w:w="140"/>
        <w:gridCol w:w="140"/>
        <w:gridCol w:w="253"/>
        <w:gridCol w:w="253"/>
        <w:gridCol w:w="36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 years</w:t>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4.93%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maturity analysis of the annual undiscounted cash flows reconciled to the carrying value of the operating lease liabilities as of March 31, 2026:</w:t>
      </w:r>
    </w:p>
    <w:tbl>
      <w:tblPr>
        <w:tblW w:w="3996" w:type="dxa"/>
        <w:jc w:val="left"/>
        <w:tblInd w:w="0" w:type="dxa"/>
        <w:tblLayout w:type="fixed"/>
        <w:tblCellMar>
          <w:top w:w="28" w:type="dxa"/>
          <w:left w:w="28" w:type="dxa"/>
          <w:bottom w:w="28" w:type="dxa"/>
          <w:right w:w="28" w:type="dxa"/>
        </w:tblCellMar>
      </w:tblPr>
      <w:tblGrid>
        <w:gridCol w:w="1049"/>
        <w:gridCol w:w="921"/>
        <w:gridCol w:w="925"/>
        <w:gridCol w:w="211"/>
        <w:gridCol w:w="73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Years Ending September 30,</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Total lease payments</w:t>
            </w:r>
            <w:r>
              <w:rPr>
                <w:rFonts w:ascii="Times New Roman;serif" w:hAnsi="Times New Roman;serif"/>
                <w:b w:val="false"/>
                <w:color w:val="000000"/>
                <w:sz w:val="13"/>
              </w:rPr>
              <w:t>(b)</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29,968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25,393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Remaining lease payments are for the period beginning April 1, 2026 through September 30, 2026. </w:t>
      </w:r>
    </w:p>
    <w:p>
      <w:pPr>
        <w:pStyle w:val="TextBody"/>
        <w:bidi w:val="0"/>
        <w:spacing w:lineRule="auto" w:line="288" w:before="120" w:after="283"/>
        <w:ind w:left="0" w:right="0" w:hanging="180"/>
        <w:jc w:val="both"/>
        <w:rPr/>
      </w:pPr>
      <w:r>
        <w:rPr>
          <w:rFonts w:ascii="Times New Roman;serif" w:hAnsi="Times New Roman;serif"/>
          <w:b w:val="false"/>
          <w:color w:val="000000"/>
          <w:sz w:val="13"/>
        </w:rPr>
        <w:t xml:space="preserve">(b) </w:t>
      </w:r>
      <w:r>
        <w:rPr>
          <w:rFonts w:ascii="Times New Roman;serif" w:hAnsi="Times New Roman;serif"/>
          <w:b w:val="false"/>
          <w:color w:val="000000"/>
          <w:sz w:val="20"/>
        </w:rPr>
        <w:t xml:space="preserve">Lease payments exclude $1.7 million of legally binding minimum lease payments for office leases signed but not yet commenced. The related right-of-use asset and operating lease liability are not reflected on the Company's condensed consolidated balance sheet as of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Beazer Homes and certain of its subsidiaries have been and continue to be named as defendants in various construction defect claims, complaints, and other legal actions. The Company is subject to the possibility of loss contingencies related to these alleged defects as well as others arising from its business. In determining loss contingencies, we consider the likelihood of loss and our ability to reasonably estimate the amount of such loss. An estimated loss is recorded in other liabilities on the condensed consolidated balance sheets when it is considered probable that a liability has been incurred and the amount of loss can be reasonably estimated.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Warranty Reserves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provide a limited warranty ranging from one to two years covering workmanship and materials per our defined quality standards. In addition, we provide a limited warranty for up to ten years covering certain defined structural element failures.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Warranty reserves are included in other liabilities within the consolidated balance sheets, and the provision for warranty accruals is included in home construction expenses in the consolidated statements of operations. Reserves covering anticipated warranty expenses are recorded for each home closed, which are a function of the number of home closings in the period, the selling prices of the homes closed and the rates of accrual per home estimated as a percentage of the selling price of the home. Management assesses the adequacy of warranty reserves each reporting period based on historical experience and the expected costs to remediate potential claims. Our review includes a quarterly analysis of the historical data and trends in warranty expense by division. An analysis by division allows us to consider market specific factors such as warranty experience, the number of home closings, the selling prices of homes, product mix, and other data in estimating warranty reserves. In addition, the analysis also contemplates the existence of any non-recurring or community-specific warranty-related matters that might not be included in historical data and trends that may need to be separately estimated based on management's judgment of the ultimate cost of repair for that specific issue. While estimated warranty liabilities are adjusted each reporting period based on the results of our quarterly analyses, we may not accurately predict actual warranty costs, which could lead to significant changes in the reserve.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Changes in warranty reserves are as follows for the periods presented:</w:t>
      </w:r>
    </w:p>
    <w:tbl>
      <w:tblPr>
        <w:tblW w:w="7859" w:type="dxa"/>
        <w:jc w:val="center"/>
        <w:tblInd w:w="0" w:type="dxa"/>
        <w:tblLayout w:type="fixed"/>
        <w:tblCellMar>
          <w:top w:w="28" w:type="dxa"/>
          <w:left w:w="28" w:type="dxa"/>
          <w:bottom w:w="28" w:type="dxa"/>
          <w:right w:w="28" w:type="dxa"/>
        </w:tblCellMar>
      </w:tblPr>
      <w:tblGrid>
        <w:gridCol w:w="956"/>
        <w:gridCol w:w="840"/>
        <w:gridCol w:w="843"/>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expenditures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Our homebuilding work is performed by subcontractors who typically must agree to indemnify us with regard to their work and provide certificates of insurance demonstrating that they have met our insurance requirements and have named us as an additional insured under their policies. Therefore, many claims relating to workmanship and materials that result in warranty spending are the primary responsibility of these subcontractors. </w:t>
      </w:r>
      <w:r>
        <w:rPr>
          <w:rFonts w:ascii="Times New Roman;serif" w:hAnsi="Times New Roman;serif"/>
          <w:b w:val="false"/>
          <w:color w:val="000000"/>
          <w:sz w:val="20"/>
          <w:shd w:fill="FFFFFF" w:val="clear"/>
        </w:rPr>
        <w:t>In addition, we maintain third-party insurance policies that provide for the reimbursement of certain warranty costs incurred in the normal course of business, subject to applicable self-insured retentions. Amounts recorded for anticipated insurance and other third-party recoveries are reflected within the consolidated statements of operations as a reduction to home construction expense, if applicable. Anticipated recoveries not yet received from our insurer or other third-parties are recorded within accounts receivable on our consolidated balance sheets, if applicable.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warranty and litigation accruals and third-party insurance are adequate to cover the ultimate resolution of our potential liabilities associated with known and anticipated warranty and construction-defect related claims and litigation. However, there can be no assurance that the terms and limitations of the limited warranty will be effective against claims made by homebuyers; that we will be able to renew our insurance coverage or renew it at reasonable rates; that we will not be liable for damages, the cost of repairs, and/or the expense of litigation surrounding possible construction defects, soil subsidence, or building related claims; or that claims will not arise out of events or circumstances not covered by insurance and/or not subject to effective indemnification agreements with our subcontractors.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we and certain of our subsidiaries are subject to various lawsuits and have been named as defendants in various claims, complaints, and other legal actions, most relating to construction defects, moisture intrusion, and product liability. Certain of the liabilities resulting from these actions are covered in whole or in part by insurance. We cannot predict or determine the timing or final outcome of these lawsuits or the effect that any adverse findings or determinations in pending lawsuits may have on us. In addition, an estimate of possible loss or range of loss, if any, cannot presently be made with respect to certain of these pending matters. An unfavorable determination in pending lawsuits could result in the payment by us of substantial monetary damages that may not be fully covered by insurance. Further, the legal costs associated with the lawsuits and the amount of time required to be spent by management and our Board of Directors on these matters, even if we are ultimately successful, could have a material adverse effect on our financial condition, results of operations, or cash flows.</w:t>
      </w:r>
    </w:p>
    <w:p>
      <w:pPr>
        <w:pStyle w:val="TextBody"/>
        <w:bidi w:val="0"/>
        <w:spacing w:lineRule="auto" w:line="288" w:before="180" w:after="283"/>
        <w:jc w:val="both"/>
        <w:rPr/>
      </w:pPr>
      <w:r>
        <w:rPr>
          <w:rFonts w:ascii="Times New Roman;serif" w:hAnsi="Times New Roman;serif"/>
          <w:b w:val="false"/>
          <w:color w:val="000000"/>
          <w:sz w:val="20"/>
        </w:rPr>
        <w:t>We have an accrual of $</w:t>
      </w:r>
      <w:r>
        <w:rPr>
          <w:rFonts w:ascii="Times New Roman;serif" w:hAnsi="Times New Roman;serif"/>
          <w:b w:val="false"/>
          <w:color w:val="000000"/>
          <w:sz w:val="20"/>
          <w:shd w:fill="FFFFFF" w:val="clear"/>
        </w:rPr>
        <w:t>27.6 million</w:t>
      </w:r>
      <w:r>
        <w:rPr>
          <w:color w:val="000000"/>
        </w:rPr>
        <w:t xml:space="preserve"> </w:t>
      </w:r>
      <w:r>
        <w:rPr>
          <w:rFonts w:ascii="Times New Roman;serif" w:hAnsi="Times New Roman;serif"/>
          <w:b w:val="false"/>
          <w:color w:val="000000"/>
          <w:sz w:val="20"/>
        </w:rPr>
        <w:t>and $9.9 million in other liabilities on our condensed consolidated balance sheets related to litigation matters as of March 31, 2026 and September 30, 2025, respectively.</w:t>
      </w:r>
      <w:r>
        <w:rPr>
          <w:color w:val="000000"/>
          <w:shd w:fill="FFFFFF" w:val="clear"/>
        </w:rPr>
        <w:t xml:space="preserve"> </w:t>
      </w:r>
      <w:r>
        <w:rPr>
          <w:rFonts w:ascii="Times New Roman;serif" w:hAnsi="Times New Roman;serif"/>
          <w:b w:val="false"/>
          <w:color w:val="000000"/>
          <w:sz w:val="20"/>
          <w:shd w:fill="FFFFFF" w:val="clear"/>
        </w:rPr>
        <w:t>A portion of our total litigation accrual as of March 31, 2026 relates to a confidential settlement agreement with a homeowners’ association that was finalized and entered into in the second fiscal quarter of 2026. The Company is pursuing recovery from implicated subcontractors and other parties for defense costs and settlement amounts paid by the Company.</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Surety Bonds and Letters of Credit</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had outstanding letters of credit, surety bonds, and surety-backed letters of credit of $45.3 million, $364.3 million, and $4.6 million, respectively, as of March 31, 2026, related principally to our obligations to local governments to construct roads and other improvements in various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dates presented, we had assets on our condensed consolidated balance sheets that were required to be measured at fair value on a recurring or non-recurring basis. We use a fair value hierarchy that requires us to maximize the use of observable inputs and minimize the use of unobservable inputs when measuring fair value as follows: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Level 1 – Quoted prices in active markets for identical assets or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Level 2 – Inputs other than quoted prices included in Level 1 that are observable either directly or indirectly through corroboration with market data;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 Unobservable inputs that reflect our own estimates about the assumptions market participants would use in pricing the asset or liability.</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our assets are required to be recorded at fair value on a non-recurring basis when events and circumstances indicate that the carrying value of these assets may not be recoverable. We review our long-lived assets, including inventory, for recoverability when factors indicate an impairment may exist, but no less than quarterly. The fair value of assets deemed to be impaired is determined based upon the type of asset being evaluated. The fair value of our inventory assets, when required to be calculated, is further discussed within Note 4. Due to the substantial use of unobservable inputs in valuing the assets on a non-recurring basis, they are classified within Level 3. </w:t>
      </w:r>
    </w:p>
    <w:p>
      <w:pPr>
        <w:pStyle w:val="TextBody"/>
        <w:bidi w:val="0"/>
        <w:spacing w:lineRule="auto" w:line="288" w:before="180" w:after="283"/>
        <w:jc w:val="both"/>
        <w:rPr/>
      </w:pPr>
      <w:r>
        <w:rPr>
          <w:rFonts w:ascii="Times New Roman;serif" w:hAnsi="Times New Roman;serif"/>
          <w:b w:val="false"/>
          <w:color w:val="000000"/>
          <w:sz w:val="20"/>
        </w:rPr>
        <w:t xml:space="preserve">Determining within which hierarchical level an asset or liability falls requires significant judgment. We evaluate our hierarchy disclosures each quarter. </w:t>
      </w:r>
      <w:r>
        <w:rPr>
          <w:rFonts w:ascii="Times New Roman;serif" w:hAnsi="Times New Roman;serif"/>
          <w:b w:val="false"/>
          <w:color w:val="000000"/>
          <w:sz w:val="20"/>
          <w:shd w:fill="FFFFFF" w:val="clear"/>
        </w:rPr>
        <w:t>The following table presents the period-end balances of assets measured at fair value on a recurring basis for each hierarchy level:</w:t>
      </w:r>
    </w:p>
    <w:tbl>
      <w:tblPr>
        <w:tblW w:w="7560" w:type="dxa"/>
        <w:jc w:val="left"/>
        <w:tblInd w:w="0" w:type="dxa"/>
        <w:tblLayout w:type="fixed"/>
        <w:tblCellMar>
          <w:top w:w="28" w:type="dxa"/>
          <w:left w:w="28" w:type="dxa"/>
          <w:bottom w:w="28" w:type="dxa"/>
          <w:right w:w="28" w:type="dxa"/>
        </w:tblCellMar>
      </w:tblPr>
      <w:tblGrid>
        <w:gridCol w:w="1152"/>
        <w:gridCol w:w="1012"/>
        <w:gridCol w:w="1016"/>
        <w:gridCol w:w="211"/>
        <w:gridCol w:w="631"/>
        <w:gridCol w:w="109"/>
        <w:gridCol w:w="109"/>
        <w:gridCol w:w="109"/>
        <w:gridCol w:w="109"/>
        <w:gridCol w:w="211"/>
        <w:gridCol w:w="406"/>
        <w:gridCol w:w="109"/>
        <w:gridCol w:w="109"/>
        <w:gridCol w:w="109"/>
        <w:gridCol w:w="109"/>
        <w:gridCol w:w="211"/>
        <w:gridCol w:w="406"/>
        <w:gridCol w:w="109"/>
        <w:gridCol w:w="109"/>
        <w:gridCol w:w="109"/>
        <w:gridCol w:w="109"/>
        <w:gridCol w:w="211"/>
        <w:gridCol w:w="63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March 31,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Deferred compensation plan assets</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compensation plan assets</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Amount is included in other assets within the condensed consolidated balance sheets.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cash and cash equivalents, restricted cash, accounts receivable, trade accounts payable, other liabilities, and amounts due under the Unsecured Facility (if outstanding) approximate their carrying amounts due to the short maturity of these assets and liabilities. When outstanding, obligations related to land not owned under option agreements approximate fair value.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estimated fair value of certain other financial liabilities as of March 31, 2026 and September 30, 2025:</w:t>
      </w:r>
    </w:p>
    <w:tbl>
      <w:tblPr>
        <w:tblW w:w="8669" w:type="dxa"/>
        <w:jc w:val="center"/>
        <w:tblInd w:w="0" w:type="dxa"/>
        <w:tblLayout w:type="fixed"/>
        <w:tblCellMar>
          <w:top w:w="28" w:type="dxa"/>
          <w:left w:w="28" w:type="dxa"/>
          <w:bottom w:w="28" w:type="dxa"/>
          <w:right w:w="28" w:type="dxa"/>
        </w:tblCellMar>
      </w:tblPr>
      <w:tblGrid>
        <w:gridCol w:w="880"/>
        <w:gridCol w:w="773"/>
        <w:gridCol w:w="776"/>
        <w:gridCol w:w="211"/>
        <w:gridCol w:w="991"/>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2025</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Financial liabilities</w:t>
            </w:r>
            <w:r>
              <w:rPr>
                <w:rFonts w:ascii="Times New Roman;serif" w:hAnsi="Times New Roman;serif"/>
                <w:b w:val="false"/>
                <w:color w:val="000000"/>
                <w:sz w:val="13"/>
              </w:rPr>
              <w:t>(a)</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w:t>
            </w:r>
            <w:r>
              <w:rPr>
                <w:rFonts w:ascii="Times New Roman;serif" w:hAnsi="Times New Roman;serif"/>
                <w:b w:val="false"/>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951,493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951,919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Junior Subordinated Notes</w:t>
            </w:r>
            <w:r>
              <w:rPr>
                <w:rFonts w:ascii="Times New Roman;serif" w:hAnsi="Times New Roman;serif"/>
                <w:b w:val="false"/>
                <w:color w:val="000000"/>
                <w:sz w:val="13"/>
              </w:rPr>
              <w:t>(c)</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1,030,996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1,031,422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Carrying amounts for financial liabilities are net of unamortized debt issuance costs o</w:t>
      </w:r>
      <w:r>
        <w:rPr>
          <w:rFonts w:ascii="Times New Roman;serif" w:hAnsi="Times New Roman;serif"/>
          <w:b w:val="false"/>
          <w:color w:val="0A2299"/>
          <w:sz w:val="20"/>
        </w:rPr>
        <w:t>r</w:t>
      </w:r>
      <w:r>
        <w:rPr>
          <w:color w:val="000000"/>
        </w:rPr>
        <w:t xml:space="preserve"> </w:t>
      </w:r>
      <w:r>
        <w:rPr>
          <w:rFonts w:ascii="Times New Roman;serif" w:hAnsi="Times New Roman;serif"/>
          <w:b w:val="false"/>
          <w:color w:val="000000"/>
          <w:sz w:val="20"/>
        </w:rPr>
        <w:t>accretion.</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The estimated fair value of our publicly-held Senior Notes has been determined using quoted market rates (Level 2).</w:t>
      </w:r>
    </w:p>
    <w:p>
      <w:pPr>
        <w:pStyle w:val="TextBody"/>
        <w:bidi w:val="0"/>
        <w:spacing w:lineRule="auto" w:line="288" w:before="120" w:after="283"/>
        <w:ind w:left="0" w:right="0" w:hanging="180"/>
        <w:jc w:val="left"/>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20"/>
        </w:rPr>
        <w:t>Since there is no trading market for our Junior Subordinated Notes, the fair value of these notes is estimated by discounting scheduled cash flows through maturity (Level 3). The discount rate is estimated using market rates currently being offered on loans with similar terms and credit quality. Judgment is required in interpreting market data to develop these estimates of fair value. Accordingly, the estimates presented herein are not necessarily indicative of the amounts that we could realize in a current market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(10) Income Taxes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Provision</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Our income tax expense or benefit is not always directly correlated to the amount of pre-tax income or loss for the associated period due to a variety of factors, including, but not limited to, the impact of tax credits and permanent differences. Historically, the Company's income tax provision for quarterly interim periods was based on an estimated annual effective income tax rate, adjusted for the effect of discrete items arising in that quarter. For the three and six months ended March 31, 2026, the Company utilized the discrete effective tax rate method, as allowed by </w:t>
      </w:r>
      <w:r>
        <w:rPr>
          <w:rFonts w:ascii="Times New Roman;serif" w:hAnsi="Times New Roman;serif"/>
          <w:b w:val="false"/>
          <w:i/>
          <w:color w:val="000000"/>
          <w:sz w:val="20"/>
          <w:shd w:fill="FFFFFF" w:val="clear"/>
        </w:rPr>
        <w:t>ASC Subtopic 740- 270, Income Taxes—Interim Reporting</w:t>
      </w:r>
      <w:r>
        <w:rPr>
          <w:rFonts w:ascii="Times New Roman;serif" w:hAnsi="Times New Roman;serif"/>
          <w:b w:val="false"/>
          <w:color w:val="000000"/>
          <w:sz w:val="20"/>
          <w:shd w:fill="FFFFFF" w:val="clear"/>
        </w:rPr>
        <w:t>, to calculate its interim income tax provision. The discrete method is applied when the use of the estimated annual effective tax rate is impractical because it is not possible to reliably estimate the annual effective tax rate. The discrete method treats the year-to-date period as if it were the annual period and determines the income tax expense or benefit on that basis. The Company believes that use of the discrete method is more appropriate than the estimated annual effective tax rate method because the significant impact of expected energy efficiency tax credits for the current fiscal year prevents the Company from reliably estimating its annual effective tax rate.</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We recognized income tax benefit of $17.6 million and $16.1 million for the three and six months ended March 31, 2026, compared to income tax expense of $1.4 million and $1.4 million for the three and six months ended March 31, 2025. Income tax benefit for the six months ended March 31, 2026 was primarily driven by </w:t>
      </w:r>
      <w:r>
        <w:rPr>
          <w:rFonts w:ascii="Times New Roman;serif" w:hAnsi="Times New Roman;serif"/>
          <w:b w:val="false"/>
          <w:color w:val="000000"/>
          <w:sz w:val="20"/>
        </w:rPr>
        <w:t>income tax benefit on loss from operations, en</w:t>
      </w:r>
      <w:r>
        <w:rPr>
          <w:rFonts w:ascii="Times New Roman;serif" w:hAnsi="Times New Roman;serif"/>
          <w:b w:val="false"/>
          <w:color w:val="000000"/>
          <w:sz w:val="20"/>
          <w:shd w:fill="FFFFFF" w:val="clear"/>
        </w:rPr>
        <w:t xml:space="preserve">ergy efficiency tax credits generated from closings during the current fiscal year, and a discrete tax benefit from tax credits related to prior year activities, partially offset by permanent differences, and stock-based compensation activity in the period. Income tax expense for the six months ended March 31, 2025 was primarily driven by income tax expense on earnings from operations and permanent differences, partially offset by energy efficiency tax credits generated from expected closings during the current fiscal year, and stock-based compensation activity in the period.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Deferred Tax Assets and Liabilities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continues to evaluate its deferred tax assets each period to determine if a valuation allowance is required based on whether it is more likely than not that some portion of these deferred tax assets will not be realized. As of March 31, 2026, management concluded that it is more likely than not that all of our federal and certain state deferred tax assets will be realized. As part of our analysis, we considered both positive and negative factors that impact profitability and whether those factors would lead to a change in the estimate of our deferred tax assets that may be realized in the future. At this time, our conclusions on the valuation allowance and Internal Revenue Code Section 382 and Section 383 limitations related to our deferred tax assets remain consistent with the determinations we made during the period ended September 30, 2025, and such conclusions are based on similar company specific and industry factors to those discussed in Note 12 to the consolidated financial statements within our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180" w:after="283"/>
        <w:jc w:val="both"/>
        <w:rPr/>
      </w:pPr>
      <w:r>
        <w:rPr>
          <w:rFonts w:ascii="Times New Roman;serif" w:hAnsi="Times New Roman;serif"/>
          <w:b w:val="false"/>
          <w:color w:val="000000"/>
          <w:sz w:val="20"/>
        </w:rPr>
        <w:t>Stock-based compensation expense is included in general and administrative expenses in our condensed consolidated statements of operations. The f</w:t>
      </w:r>
      <w:r>
        <w:rPr>
          <w:rFonts w:ascii="Times New Roman;serif" w:hAnsi="Times New Roman;serif"/>
          <w:b w:val="false"/>
          <w:color w:val="000000"/>
          <w:sz w:val="20"/>
          <w:shd w:fill="FFFFFF" w:val="clear"/>
        </w:rPr>
        <w:t xml:space="preserve">ollowing table presents a summary of stock-based compensation expense related to stock options and restricted stock awards for the periods presented: </w:t>
      </w:r>
    </w:p>
    <w:tbl>
      <w:tblPr>
        <w:tblW w:w="7800" w:type="dxa"/>
        <w:jc w:val="center"/>
        <w:tblInd w:w="0" w:type="dxa"/>
        <w:tblLayout w:type="fixed"/>
        <w:tblCellMar>
          <w:top w:w="28" w:type="dxa"/>
          <w:left w:w="28" w:type="dxa"/>
          <w:bottom w:w="28" w:type="dxa"/>
          <w:right w:w="28" w:type="dxa"/>
        </w:tblCellMar>
      </w:tblPr>
      <w:tblGrid>
        <w:gridCol w:w="1085"/>
        <w:gridCol w:w="954"/>
        <w:gridCol w:w="961"/>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stock option activity for the six months ended March 31, 2026:</w:t>
      </w:r>
    </w:p>
    <w:tbl>
      <w:tblPr>
        <w:tblW w:w="5727" w:type="dxa"/>
        <w:jc w:val="center"/>
        <w:tblInd w:w="0" w:type="dxa"/>
        <w:tblLayout w:type="fixed"/>
        <w:tblCellMar>
          <w:top w:w="28" w:type="dxa"/>
          <w:left w:w="28" w:type="dxa"/>
          <w:bottom w:w="28" w:type="dxa"/>
          <w:right w:w="28" w:type="dxa"/>
        </w:tblCellMar>
      </w:tblPr>
      <w:tblGrid>
        <w:gridCol w:w="1081"/>
        <w:gridCol w:w="949"/>
        <w:gridCol w:w="954"/>
        <w:gridCol w:w="360"/>
        <w:gridCol w:w="361"/>
        <w:gridCol w:w="196"/>
        <w:gridCol w:w="109"/>
        <w:gridCol w:w="109"/>
        <w:gridCol w:w="109"/>
        <w:gridCol w:w="322"/>
        <w:gridCol w:w="942"/>
        <w:gridCol w:w="235"/>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end of period</w:t>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September 30, 2025, total unrecognized compensation cost related to unvested stock options was $0.2 million and less than $0.1 million, respectively. The remaining cost as of March 31, 2026 is expected to be recognized over a weighted average period of 2.6 years.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the Company issued time-based and performance-based restricted stock awards. The time-based restricted shares granted to our non-employee directors vest on the first anniversary of the grant, while the time-based restricted shares granted to our executive officers and other employees generally vest ratably over three years from the date of grant. Performance-based restricted share awards vest subject to the achievement of performance and market conditions over a three-year performance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restricted stock activity for the six months ended March 31, 2026:</w:t>
      </w:r>
    </w:p>
    <w:tbl>
      <w:tblPr>
        <w:tblW w:w="9728" w:type="dxa"/>
        <w:jc w:val="center"/>
        <w:tblInd w:w="0" w:type="dxa"/>
        <w:tblLayout w:type="fixed"/>
        <w:tblCellMar>
          <w:top w:w="28" w:type="dxa"/>
          <w:left w:w="28" w:type="dxa"/>
          <w:bottom w:w="28" w:type="dxa"/>
          <w:right w:w="28" w:type="dxa"/>
        </w:tblCellMar>
      </w:tblPr>
      <w:tblGrid>
        <w:gridCol w:w="641"/>
        <w:gridCol w:w="562"/>
        <w:gridCol w:w="566"/>
        <w:gridCol w:w="944"/>
        <w:gridCol w:w="944"/>
        <w:gridCol w:w="946"/>
        <w:gridCol w:w="172"/>
        <w:gridCol w:w="172"/>
        <w:gridCol w:w="172"/>
        <w:gridCol w:w="749"/>
        <w:gridCol w:w="749"/>
        <w:gridCol w:w="751"/>
        <w:gridCol w:w="172"/>
        <w:gridCol w:w="172"/>
        <w:gridCol w:w="172"/>
        <w:gridCol w:w="539"/>
        <w:gridCol w:w="539"/>
        <w:gridCol w:w="766"/>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 2026</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Shares</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 Restricted Shares</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Restricted Shares</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307,097 </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402,025 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709,122 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0"/>
              </w:rPr>
              <w:t>Granted</w:t>
            </w:r>
            <w:r>
              <w:rPr>
                <w:color w:val="000000"/>
              </w:rPr>
              <w:t xml:space="preserve"> </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174,243 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388,707 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562,950 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(140,035)</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(219,548)</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(359,583)</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Forfeited</w:t>
            </w:r>
            <w:r>
              <w:rPr>
                <w:rFonts w:ascii="Times New Roman;serif" w:hAnsi="Times New Roman;serif"/>
                <w:b w:val="false"/>
                <w:color w:val="000000"/>
                <w:sz w:val="13"/>
              </w:rPr>
              <w:t xml:space="preserve">(a) </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336,681 </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568,693 </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905,374 </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 xml:space="preserve">(a) </w:t>
      </w:r>
      <w:r>
        <w:rPr>
          <w:rFonts w:ascii="Times New Roman;serif" w:hAnsi="Times New Roman;serif"/>
          <w:b w:val="false"/>
          <w:color w:val="000000"/>
          <w:sz w:val="20"/>
          <w:shd w:fill="FFFFFF" w:val="clear"/>
        </w:rPr>
        <w:t>Each of our performance shares represent a contingent right to receive one share of the Company's common stock if vesting is satisfied at the end of the three-year performance period. Our performance stock award plans provide that any performance shares earned in excess of the target number of performance shares issued may be settled in cash or additional shares at the discretion of the Human Capital Committee. We have no current plans to settle any additional performance-based restricted shares in the future in cas</w:t>
      </w:r>
      <w:r>
        <w:rPr>
          <w:rFonts w:ascii="Times New Roman;serif" w:hAnsi="Times New Roman;serif"/>
          <w:b w:val="false"/>
          <w:color w:val="000000"/>
          <w:sz w:val="20"/>
        </w:rPr>
        <w:t>h. During November 2025, 3,599 of the 143,634 performance-based shares issued under the fiscal 2023 performance-based award plan were forfeited by the holders of the awards based on the performance level achieved under the terms of the plan.</w:t>
      </w:r>
    </w:p>
    <w:p>
      <w:pPr>
        <w:pStyle w:val="TextBody"/>
        <w:bidi w:val="0"/>
        <w:spacing w:lineRule="auto" w:line="288" w:before="180" w:after="283"/>
        <w:jc w:val="both"/>
        <w:rPr/>
      </w:pPr>
      <w:r>
        <w:rPr>
          <w:rFonts w:ascii="Times New Roman;serif" w:hAnsi="Times New Roman;serif"/>
          <w:b w:val="false"/>
          <w:color w:val="000000"/>
          <w:sz w:val="20"/>
        </w:rPr>
        <w:t>As of March 31, 2026 and September 30, 2025, total unrecognized compensation costs related to unvested restricted stock awards were</w:t>
      </w:r>
      <w:r>
        <w:rPr>
          <w:color w:val="000000"/>
          <w:shd w:fill="FFFFFF" w:val="clear"/>
        </w:rPr>
        <w:t xml:space="preserve"> </w:t>
      </w:r>
      <w:r>
        <w:rPr>
          <w:rFonts w:ascii="Times New Roman;serif" w:hAnsi="Times New Roman;serif"/>
          <w:b w:val="false"/>
          <w:color w:val="000000"/>
          <w:sz w:val="20"/>
        </w:rPr>
        <w:t xml:space="preserve">$14.5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$9.1 million</w:t>
      </w:r>
      <w:r>
        <w:rPr>
          <w:rFonts w:ascii="Times New Roman;serif" w:hAnsi="Times New Roman;serif"/>
          <w:b w:val="false"/>
          <w:color w:val="000000"/>
          <w:sz w:val="20"/>
          <w:shd w:fill="FFFFFF" w:val="clear"/>
        </w:rPr>
        <w:t xml:space="preserve">, respectively. The costs remaining as of March 31, 2026 are expected to be recognized over a weighted average period of </w:t>
      </w:r>
      <w:r>
        <w:rPr>
          <w:rFonts w:ascii="Times New Roman;serif" w:hAnsi="Times New Roman;serif"/>
          <w:b w:val="false"/>
          <w:color w:val="000000"/>
          <w:sz w:val="20"/>
        </w:rPr>
        <w:t>2.1 years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income per share is calculated by dividing net (loss) income by the weighted-average number of shares outstanding during the period. Diluted (loss) income per share adjusts the basic (loss) income per share for the effects of any potentially dilutive securities in periods in which the Company has net income and such effects are dilutive under the treasury stock method.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the components of basic and diluted (loss) income per share for the periods presented:</w:t>
      </w:r>
    </w:p>
    <w:tbl>
      <w:tblPr>
        <w:tblW w:w="8628" w:type="dxa"/>
        <w:jc w:val="center"/>
        <w:tblInd w:w="0" w:type="dxa"/>
        <w:tblLayout w:type="fixed"/>
        <w:tblCellMar>
          <w:top w:w="28" w:type="dxa"/>
          <w:left w:w="28" w:type="dxa"/>
          <w:bottom w:w="28" w:type="dxa"/>
          <w:right w:w="28" w:type="dxa"/>
        </w:tblCellMar>
      </w:tblPr>
      <w:tblGrid>
        <w:gridCol w:w="1222"/>
        <w:gridCol w:w="1074"/>
        <w:gridCol w:w="1078"/>
        <w:gridCol w:w="222"/>
        <w:gridCol w:w="618"/>
        <w:gridCol w:w="115"/>
        <w:gridCol w:w="115"/>
        <w:gridCol w:w="115"/>
        <w:gridCol w:w="115"/>
        <w:gridCol w:w="222"/>
        <w:gridCol w:w="761"/>
        <w:gridCol w:w="115"/>
        <w:gridCol w:w="109"/>
        <w:gridCol w:w="109"/>
        <w:gridCol w:w="109"/>
        <w:gridCol w:w="211"/>
        <w:gridCol w:w="796"/>
        <w:gridCol w:w="109"/>
        <w:gridCol w:w="109"/>
        <w:gridCol w:w="109"/>
        <w:gridCol w:w="109"/>
        <w:gridCol w:w="211"/>
        <w:gridCol w:w="72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27,990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awards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weighted-average shares</w:t>
            </w:r>
            <w:r>
              <w:rPr>
                <w:rFonts w:ascii="Times New Roman;serif" w:hAnsi="Times New Roman;serif"/>
                <w:b w:val="false"/>
                <w:color w:val="000000"/>
                <w:sz w:val="13"/>
              </w:rPr>
              <w:t>(a)</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27,990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per share:</w:t>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 xml:space="preserve">The following potentially dilutive shares were excluded from the calculation of diluted (loss) income per share as a result of their anti-dilutive effect. Due to the reported net loss for the three and six months ended </w:t>
      </w:r>
      <w:r>
        <w:rPr>
          <w:rFonts w:ascii="Times New Roman;serif" w:hAnsi="Times New Roman;serif"/>
          <w:b w:val="false"/>
          <w:color w:val="000000"/>
          <w:sz w:val="20"/>
          <w:shd w:fill="FFFFFF" w:val="clear"/>
        </w:rPr>
        <w:t>March 31, 2026, all common stock equivalents were excluded from the computation of diluted loss per share for that respective period because inclusion would have resulted in anti-dilution.</w:t>
      </w:r>
    </w:p>
    <w:tbl>
      <w:tblPr>
        <w:tblW w:w="7961" w:type="dxa"/>
        <w:jc w:val="left"/>
        <w:tblInd w:w="0" w:type="dxa"/>
        <w:tblLayout w:type="fixed"/>
        <w:tblCellMar>
          <w:top w:w="28" w:type="dxa"/>
          <w:left w:w="28" w:type="dxa"/>
          <w:bottom w:w="28" w:type="dxa"/>
          <w:right w:w="28" w:type="dxa"/>
        </w:tblCellMar>
      </w:tblPr>
      <w:tblGrid>
        <w:gridCol w:w="1060"/>
        <w:gridCol w:w="931"/>
        <w:gridCol w:w="934"/>
        <w:gridCol w:w="266"/>
        <w:gridCol w:w="266"/>
        <w:gridCol w:w="266"/>
        <w:gridCol w:w="266"/>
        <w:gridCol w:w="266"/>
        <w:gridCol w:w="266"/>
        <w:gridCol w:w="266"/>
        <w:gridCol w:w="266"/>
        <w:gridCol w:w="266"/>
        <w:gridCol w:w="109"/>
        <w:gridCol w:w="109"/>
        <w:gridCol w:w="109"/>
        <w:gridCol w:w="305"/>
        <w:gridCol w:w="239"/>
        <w:gridCol w:w="239"/>
        <w:gridCol w:w="239"/>
        <w:gridCol w:w="239"/>
        <w:gridCol w:w="239"/>
        <w:gridCol w:w="239"/>
        <w:gridCol w:w="239"/>
        <w:gridCol w:w="337"/>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Time-based restricted stock</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w:t>
            </w: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Other Liabilities</w:t>
      </w:r>
    </w:p>
    <w:p>
      <w:pPr>
        <w:pStyle w:val="TextBody"/>
        <w:bidi w:val="0"/>
        <w:spacing w:lineRule="auto" w:line="288" w:before="180" w:after="283"/>
        <w:jc w:val="left"/>
        <w:rPr/>
      </w:pPr>
      <w:r>
        <w:rPr>
          <w:rFonts w:ascii="Times New Roman;serif" w:hAnsi="Times New Roman;serif"/>
          <w:b w:val="false"/>
          <w:color w:val="000000"/>
          <w:sz w:val="20"/>
        </w:rPr>
        <w:t>Other</w:t>
      </w:r>
      <w:r>
        <w:rPr>
          <w:color w:val="000000"/>
        </w:rPr>
        <w:t> </w:t>
      </w:r>
      <w:r>
        <w:rPr>
          <w:rFonts w:ascii="Times New Roman;serif" w:hAnsi="Times New Roman;serif"/>
          <w:b w:val="false"/>
          <w:color w:val="000000"/>
          <w:sz w:val="20"/>
        </w:rPr>
        <w:t>liabilities include the following as of March 31, 2026 and September 30, 2025:</w:t>
      </w:r>
    </w:p>
    <w:tbl>
      <w:tblPr>
        <w:tblW w:w="9235" w:type="dxa"/>
        <w:jc w:val="left"/>
        <w:tblInd w:w="0" w:type="dxa"/>
        <w:tblLayout w:type="fixed"/>
        <w:tblCellMar>
          <w:top w:w="28" w:type="dxa"/>
          <w:left w:w="28" w:type="dxa"/>
          <w:bottom w:w="28" w:type="dxa"/>
          <w:right w:w="28" w:type="dxa"/>
        </w:tblCellMar>
      </w:tblPr>
      <w:tblGrid>
        <w:gridCol w:w="1898"/>
        <w:gridCol w:w="1670"/>
        <w:gridCol w:w="1682"/>
        <w:gridCol w:w="305"/>
        <w:gridCol w:w="1217"/>
        <w:gridCol w:w="157"/>
        <w:gridCol w:w="109"/>
        <w:gridCol w:w="109"/>
        <w:gridCol w:w="109"/>
        <w:gridCol w:w="350"/>
        <w:gridCol w:w="1373"/>
        <w:gridCol w:w="256"/>
      </w:tblGrid>
      <w:tr>
        <w:trPr/>
        <w:tc>
          <w:tcPr>
            <w:tcW w:w="189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2025</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21,077</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23,327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11,202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accruals</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27,607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liabilities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related to land not owned under option agreements</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21,691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52,981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178,328</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80" w:after="283"/>
        <w:jc w:val="both"/>
        <w:rPr/>
      </w:pPr>
      <w:r>
        <w:rPr>
          <w:rFonts w:ascii="Times New Roman;serif" w:hAnsi="Times New Roman;serif"/>
          <w:b w:val="false"/>
          <w:color w:val="000000"/>
          <w:sz w:val="20"/>
        </w:rPr>
        <w:t xml:space="preserve">Per ASC Topic 280,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 xml:space="preserve">(ASC 280), an operating segment is defined as a component of an enterprise that engages in business activities from which it earns revenues and incur expenses and has discrete financial information available that is reviewed regularly by the Company's chief operating decision maker (CODM) to evaluate performance, make operating decisions, and determine how to allocate resources. </w:t>
      </w:r>
      <w:r>
        <w:rPr>
          <w:rFonts w:ascii="Times New Roman;serif" w:hAnsi="Times New Roman;serif"/>
          <w:b w:val="false"/>
          <w:color w:val="000000"/>
          <w:sz w:val="20"/>
          <w:shd w:fill="FFFFFF" w:val="clear"/>
        </w:rPr>
        <w:t xml:space="preserve">We have identified each homebuilding component as an operating segment because each homebuilding component is engaged in development, design, construction, marketing, and sale of homes as well as land and lot sales, and provides title examinations for our homebuyers in certain markets. </w:t>
      </w:r>
      <w:r>
        <w:rPr>
          <w:rFonts w:ascii="Times New Roman;serif" w:hAnsi="Times New Roman;serif"/>
          <w:b w:val="false"/>
          <w:color w:val="000000"/>
          <w:sz w:val="20"/>
        </w:rPr>
        <w:t>In accordance with the aggregation criteria def</w:t>
      </w:r>
      <w:r>
        <w:rPr>
          <w:rFonts w:ascii="Times New Roman;serif" w:hAnsi="Times New Roman;serif"/>
          <w:b w:val="false"/>
          <w:color w:val="000000"/>
          <w:sz w:val="20"/>
          <w:shd w:fill="FFFFFF" w:val="clear"/>
        </w:rPr>
        <w:t>ined in ASC 280, w</w:t>
      </w:r>
      <w:r>
        <w:rPr>
          <w:rFonts w:ascii="Times New Roman;serif" w:hAnsi="Times New Roman;serif"/>
          <w:b w:val="false"/>
          <w:color w:val="000000"/>
          <w:sz w:val="20"/>
        </w:rPr>
        <w:t xml:space="preserve">e aggregate our homebuilding operating segments into reportable segments based on similar long-term economic characteristics and geographical proximity.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currently operate in 13 states that are grouped into three reportable segments as follows:</w:t>
      </w:r>
    </w:p>
    <w:p>
      <w:pPr>
        <w:pStyle w:val="TextBody"/>
        <w:bidi w:val="0"/>
        <w:spacing w:lineRule="auto" w:line="288" w:before="180" w:after="283"/>
        <w:jc w:val="both"/>
        <w:rPr/>
      </w:pPr>
      <w:r>
        <w:rPr>
          <w:rFonts w:ascii="Times New Roman;serif" w:hAnsi="Times New Roman;serif"/>
          <w:b w:val="false"/>
          <w:i/>
          <w:color w:val="000000"/>
          <w:sz w:val="20"/>
        </w:rPr>
        <w:t>West</w:t>
      </w:r>
      <w:r>
        <w:rPr>
          <w:rFonts w:ascii="Times New Roman;serif" w:hAnsi="Times New Roman;serif"/>
          <w:b w:val="false"/>
          <w:color w:val="000000"/>
          <w:sz w:val="20"/>
        </w:rPr>
        <w:t>: Arizona, California, Nevada, and Texas</w:t>
      </w:r>
    </w:p>
    <w:p>
      <w:pPr>
        <w:pStyle w:val="TextBody"/>
        <w:bidi w:val="0"/>
        <w:spacing w:lineRule="auto" w:line="288" w:before="180" w:after="283"/>
        <w:jc w:val="both"/>
        <w:rPr/>
      </w:pPr>
      <w:r>
        <w:rPr>
          <w:rFonts w:ascii="Times New Roman;serif" w:hAnsi="Times New Roman;serif"/>
          <w:b w:val="false"/>
          <w:i/>
          <w:color w:val="000000"/>
          <w:sz w:val="20"/>
        </w:rPr>
        <w:t>East</w:t>
      </w:r>
      <w:r>
        <w:rPr>
          <w:rFonts w:ascii="Times New Roman;serif" w:hAnsi="Times New Roman;serif"/>
          <w:b w:val="false"/>
          <w:color w:val="000000"/>
          <w:sz w:val="20"/>
        </w:rPr>
        <w:t>: Delaware, Indiana, Maryland, Tennessee, and Virginia</w:t>
      </w:r>
    </w:p>
    <w:p>
      <w:pPr>
        <w:pStyle w:val="TextBody"/>
        <w:bidi w:val="0"/>
        <w:spacing w:lineRule="auto" w:line="288" w:before="180" w:after="283"/>
        <w:jc w:val="both"/>
        <w:rPr/>
      </w:pPr>
      <w:r>
        <w:rPr>
          <w:rFonts w:ascii="Times New Roman;serif" w:hAnsi="Times New Roman;serif"/>
          <w:b w:val="false"/>
          <w:i/>
          <w:color w:val="000000"/>
          <w:sz w:val="20"/>
        </w:rPr>
        <w:t>Southeast</w:t>
      </w:r>
      <w:r>
        <w:rPr>
          <w:rFonts w:ascii="Times New Roman;serif" w:hAnsi="Times New Roman;serif"/>
          <w:b w:val="false"/>
          <w:color w:val="000000"/>
          <w:sz w:val="20"/>
        </w:rPr>
        <w:t>: Florida, Georgia, North Carolina, and South Carolina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Corporate and unallocated component includes amortization of capitalized interest, capitalization and amortization of indirect costs, impairment of capitalized interest and capitalized indirect costs, expenses for various shared services functions that benefit all segments but are not allocated, including information technology, treasury, corporate finance, legal, branding and national marketing, and certain other amounts that are not allocated to our operating segments.</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Company's CODM is the Chief Executive Officer. The CODM is</w:t>
      </w:r>
      <w:r>
        <w:rPr>
          <w:color w:val="000000"/>
        </w:rPr>
        <w:t xml:space="preserve"> </w:t>
      </w:r>
      <w:r>
        <w:rPr>
          <w:rFonts w:ascii="Times New Roman;serif" w:hAnsi="Times New Roman;serif"/>
          <w:b w:val="false"/>
          <w:color w:val="000000"/>
          <w:sz w:val="20"/>
        </w:rPr>
        <w:t>regularly provided with the operating results of individual operating segments which comprise our reportable segments. Segment performance is evaluated, and resources are allocated primarily based on segment operating income (loss), which also plays a central role in the Company's forecasting process. In addition, the CODM considers forecast-to-actual variances when determining the allocation of operating and capital resources across segments. The accounting policies of our segments are those described in Note 2 to the consolidated financial statements within our 2025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financial information about our reportable segments and Corporate and unallocated component for the periods presented:</w:t>
      </w:r>
    </w:p>
    <w:tbl>
      <w:tblPr>
        <w:tblW w:w="10205" w:type="dxa"/>
        <w:jc w:val="left"/>
        <w:tblInd w:w="0" w:type="dxa"/>
        <w:tblLayout w:type="fixed"/>
        <w:tblCellMar>
          <w:top w:w="28" w:type="dxa"/>
          <w:left w:w="28" w:type="dxa"/>
          <w:bottom w:w="28" w:type="dxa"/>
          <w:right w:w="28" w:type="dxa"/>
        </w:tblCellMar>
      </w:tblPr>
      <w:tblGrid>
        <w:gridCol w:w="651"/>
        <w:gridCol w:w="418"/>
        <w:gridCol w:w="421"/>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27"/>
        <w:gridCol w:w="905"/>
        <w:gridCol w:w="117"/>
        <w:gridCol w:w="109"/>
        <w:gridCol w:w="109"/>
        <w:gridCol w:w="109"/>
        <w:gridCol w:w="225"/>
        <w:gridCol w:w="797"/>
        <w:gridCol w:w="116"/>
        <w:gridCol w:w="109"/>
        <w:gridCol w:w="109"/>
        <w:gridCol w:w="109"/>
        <w:gridCol w:w="211"/>
        <w:gridCol w:w="841"/>
        <w:gridCol w:w="158"/>
      </w:tblGrid>
      <w:tr>
        <w:trPr/>
        <w:tc>
          <w:tcPr>
            <w:tcW w:w="65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Southeast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 Subtotal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236,856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97,125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409,846</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409,846</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347,589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359,851</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1,295</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13,390</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18,593</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31,601</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4,084</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14,941</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(33,909)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(18,968)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433</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(18,535)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 2026</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Southeast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 Subtotal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460,360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122,393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773,337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773,337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393,889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658,991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683,768</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3,665</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25,406</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37,870</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65,313</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8,126</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(73,478)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(50,811)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1,211</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(49,600)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614"/>
        <w:gridCol w:w="379"/>
        <w:gridCol w:w="38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5"/>
        <w:gridCol w:w="998"/>
        <w:gridCol w:w="111"/>
        <w:gridCol w:w="109"/>
        <w:gridCol w:w="109"/>
        <w:gridCol w:w="109"/>
        <w:gridCol w:w="216"/>
        <w:gridCol w:w="759"/>
        <w:gridCol w:w="111"/>
        <w:gridCol w:w="109"/>
        <w:gridCol w:w="109"/>
        <w:gridCol w:w="109"/>
        <w:gridCol w:w="211"/>
        <w:gridCol w:w="976"/>
        <w:gridCol w:w="159"/>
      </w:tblGrid>
      <w:tr>
        <w:trPr/>
        <w:tc>
          <w:tcPr>
            <w:tcW w:w="61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Southeast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 Subtotal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478,813</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16,127</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33,072</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 2025</w:t>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Southeast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 Subtotal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875,688</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34,896</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31,040</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67,931</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assets by segment as of March 31, 2026 and September 30, 2025:</w:t>
      </w:r>
    </w:p>
    <w:tbl>
      <w:tblPr>
        <w:tblW w:w="5628" w:type="dxa"/>
        <w:jc w:val="left"/>
        <w:tblInd w:w="0" w:type="dxa"/>
        <w:tblLayout w:type="fixed"/>
        <w:tblCellMar>
          <w:top w:w="28" w:type="dxa"/>
          <w:left w:w="28" w:type="dxa"/>
          <w:bottom w:w="28" w:type="dxa"/>
          <w:right w:w="28" w:type="dxa"/>
        </w:tblCellMar>
      </w:tblPr>
      <w:tblGrid>
        <w:gridCol w:w="965"/>
        <w:gridCol w:w="764"/>
        <w:gridCol w:w="701"/>
        <w:gridCol w:w="211"/>
        <w:gridCol w:w="991"/>
        <w:gridCol w:w="109"/>
        <w:gridCol w:w="109"/>
        <w:gridCol w:w="109"/>
        <w:gridCol w:w="109"/>
        <w:gridCol w:w="245"/>
        <w:gridCol w:w="1136"/>
        <w:gridCol w:w="179"/>
      </w:tblGrid>
      <w:tr>
        <w:trPr/>
        <w:tc>
          <w:tcPr>
            <w:tcW w:w="96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30,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1,145,883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1,060,650 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2,757,480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shd w:fill="FFFFFF" w:val="clear"/>
        </w:rPr>
        <w:t xml:space="preserve">Total assets at Corporate and unallocated include </w:t>
      </w:r>
      <w:r>
        <w:rPr>
          <w:rFonts w:ascii="Times New Roman;serif" w:hAnsi="Times New Roman;serif"/>
          <w:b w:val="false"/>
          <w:color w:val="000000"/>
          <w:sz w:val="20"/>
        </w:rPr>
        <w:t>cash and cash equivalents, restricted cash, deferred taxes, capitalized interest and indirect costs, and other items that are not allocated to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(Form 10-Q), as well as some statements by us in periodic press releases and other public disclosures and some oral statements by us to analysts, stockholders and others during presentations, are “forward-looking statements” within the meaning of the Private Securities Litigation Reform Act of 1995. These forward-looking statements represent our expectations or beliefs concerning future events or results, and it is possible that such events or results described in this Form 10-Q will not occur or be achieved. These forward-looking statements can generally be identified by the use of statements that include words such as "outlook," "may," "will," "strategy," "believe," "expect," "anticipate," "inspires," "intend," "plan," "foresee," "likely," "goal," "target," "estimate," "should," "project," "initial" or other similar words or phrases.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involve risks, uncertainties and other factors, many of which are outside of our control, that could cause actual events or results to differ materially from the results discussed in the forward-looking statements, including, among other things, the matters discussed in this Form 10-Q in the section captioned “Management’s Discussion and Analysis of Financial Condition and Results of Operations.” Additional information about factors that could lead to material changes is contained in Part I, Item 1A— Risk Factors of our Annual Report on Form 10-K for the fiscal year ended September 30, 2025. These factors are not intended to be an all-inclusive list of risks and uncertainties that may affect the operations, performance, development and results of our business, but instead are the risks that we currently perceive as potentially being material. Such factors may include:</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macroeconomic uncertainty, including high levels of inflation, elevated interest rates and insurance costs, stock market volatility, enhanced and/or altered government regulation resulting from legislation and/or executive orders, and historic changes in U.S. trade policy, negatively impacting consumer sentiment and softening demand for the homes we sell;</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elevated mortgage interest rates for prolonged periods, as well as further increases to, and reduced availability of, mortgage financing;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supply chain challenges (including as a result of U.S. trade policies and retaliatory responses from other countries) negatively impacting our homebuilding production, including shortages of raw materials and other critical components such as windows, doors, and appliances;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our ability to meet or achieve our sustainability related goals, aspirations, initiatives, and our public statements and disclosures regarding them;</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rPr>
        <w:t>geopolitical disruptions, acts of war, terrorist attacks and other geopolitical developments outside the Company’s control, including the ongoing military conflicts between Russia and Ukraine and in the Middle East, which have heightened, and may continue to heighten, existing economic uncertainty and contribute to increases in mortgage rates, higher energy prices, and other adverse macroeconomic pressures;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inaccurate estimates related to homes to be delivered in the future (backlog), as they are subject to various cancellation risks that cannot be fully controlled;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factors affecting margins, such as adjustments to home pricing, increased sales incentives and mortgage rate buy down programs in order to remain competitive;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decreased revenues;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decreased land values underlying land option agreements;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increased land development costs in communities under development or delays or difficulties in implementing initiatives to reduce our cycle times and production and overhead cost structures;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not being able to pass on cost increases (including cost increases due to increasing the energy efficiency of our homes) through pricing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the availability and cost of land and the risks associated with the future value</w:t>
      </w:r>
      <w:r>
        <w:rPr>
          <w:color w:val="000000"/>
        </w:rPr>
        <w:t xml:space="preserve"> </w:t>
      </w:r>
      <w:r>
        <w:rPr>
          <w:rFonts w:ascii="Times New Roman;serif" w:hAnsi="Times New Roman;serif"/>
          <w:b w:val="false"/>
          <w:color w:val="000000"/>
          <w:sz w:val="20"/>
        </w:rPr>
        <w:t>of our inventory, including impairments and abandonment charges;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our ability to raise debt and/or equity capital, due to factors such as limitations in the capital markets (including market volatility), adverse credit market conditions and financial institution disruptions, and our ability to otherwise meet our ongoing liquidity needs (which could cause us to fail to meet the terms of our covenants and other requirements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various debt instruments and therefore trigger an acceleration of a significant portion or all of our outstanding debt obligations), including the impact of any downgrades of our credit ratings or reduction in our liquidity levels;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market perceptions regarding any capital raising initiatives we may undertake (including future issuances of equity or debt capital);</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inefficient or ineffective allocation of capital, including with respect to planned share repurchases;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market conditions and other factors outside our control that adversely impact our ability to execute on our planned share repurchases or asset sales;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tax laws, such as the One Big Beautiful Bill Act (OBBBA), or otherwise regarding the deductibility of mortgage interest expenses and real estate taxes, including those resulting from regulatory guidance and interpretations issued with respect thereto, such as the IRS's guidance regarding heightened qualification requirements for federal credits for building energy-efficient homes;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competition or delays in reacting to changing consumer preferences in home design;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natural disasters, severe weather, or other related events that could result in delays in land development or home construction, increase our costs or decrease demand in the impacted areas;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shortages of or increased costs for labor used in housing production, including as a result of federal or state legislation, and/or enforcement, and the level of quality and craftsmanship provided by such labor;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potential recoverability of our deferred tax assets;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potential delays or increased costs in obtaining necessary permits as a result of changes to, or complying with, laws, regulations or governmental policies, and possible penalties for failure to comply with such laws, regulations or governmental policies, including those related to the environment;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results of litigation or government proceedings and fulfillment of any related obligations;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construction defect and home warranty claims;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cost and availability of insurance and surety bonds, as well as the sufficiency of these instruments to cover potential losses incurred;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information technology failures, cybersecurity issues or data security breaches, including cybersecurity incidents deploying evolving artificial intelligence tools and incidents impacting third-party service providers that we depend on to conduct our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governmental regulations on homebuilding in key markets, such as regulations limiting the availability of water and electricity (including availability of electrical equipment such as transformers and meters);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success of our sustainability initiatives, as well as the success of any other related partnerships or pilot programs we may enter into in order to increase the energy efficiency of our homes.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forward-looking statement, including any statement expressing confidence regarding future outcomes,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to predict all such factors.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Executive Overview and Outlook</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Market Conditions and Strategy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fiscal 2026, sales paces reflected positive early momentum before plateauing in March with the disruption from geopolitical events. The military conflict in the Middle East heightened existing economic uncertainty and contributed to a rapid increase in mortgage rates, sharply higher energy prices, and other adverse macroeconomic pressures. Despite these uncertainties, the Company continued to execute on several margin-enhancing cost and mix initiatives that are expected to be realized over the remainder of fiscal 2026.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the persistent affordability concerns and overall economic uncertainty, we have maintained a disciplined approach to operations and capital allocation. We continue to focus on our differentiated product strategy, increasing margins, selling non-strategic assets, and improving the efficiency of our land spend to support community count growth and facilitate share repurchases. Further, we are utilizing capital-efficient option agreements, when possible, to finance land spending, while keeping a prudent balance between optioned lots and on-balance sheet inventory. </w:t>
      </w:r>
    </w:p>
    <w:p>
      <w:pPr>
        <w:pStyle w:val="TextBody"/>
        <w:bidi w:val="0"/>
        <w:spacing w:lineRule="auto" w:line="288" w:before="180" w:after="283"/>
        <w:jc w:val="both"/>
        <w:rPr/>
      </w:pPr>
      <w:r>
        <w:rPr>
          <w:rFonts w:ascii="Times New Roman;serif" w:hAnsi="Times New Roman;serif"/>
          <w:b w:val="false"/>
          <w:color w:val="000000"/>
          <w:sz w:val="20"/>
        </w:rPr>
        <w:t xml:space="preserve">With our common stock trading below book value, we accelerated our share buyback in the second quarter and repurchased </w:t>
      </w:r>
      <w:r>
        <w:rPr>
          <w:rFonts w:ascii="Times New Roman;serif" w:hAnsi="Times New Roman;serif"/>
          <w:b w:val="false"/>
          <w:color w:val="000000"/>
          <w:sz w:val="20"/>
          <w:shd w:fill="FFFFFF" w:val="clear"/>
        </w:rPr>
        <w:t xml:space="preserve">1.2 million </w:t>
      </w:r>
      <w:r>
        <w:rPr>
          <w:rFonts w:ascii="Times New Roman;serif" w:hAnsi="Times New Roman;serif"/>
          <w:b w:val="false"/>
          <w:color w:val="000000"/>
          <w:sz w:val="20"/>
        </w:rPr>
        <w:t>shares of our common stock, approximately 4.0% of our outstanding shares at the end of our fiscal first quarter, for an aggregate $30.0 million. This brings our year-to-date share repurchases to $45.1 million, equat</w:t>
      </w:r>
      <w:r>
        <w:rPr>
          <w:rFonts w:ascii="Times New Roman;serif" w:hAnsi="Times New Roman;serif"/>
          <w:b w:val="false"/>
          <w:color w:val="000000"/>
          <w:sz w:val="20"/>
          <w:shd w:fill="FFFFFF" w:val="clear"/>
        </w:rPr>
        <w:t>ing to approximately 6.3% of</w:t>
      </w:r>
      <w:r>
        <w:rPr>
          <w:color w:val="000000"/>
        </w:rPr>
        <w:t xml:space="preserve"> </w:t>
      </w:r>
      <w:r>
        <w:rPr>
          <w:rFonts w:ascii="Times New Roman;serif" w:hAnsi="Times New Roman;serif"/>
          <w:b w:val="false"/>
          <w:color w:val="000000"/>
          <w:sz w:val="20"/>
        </w:rPr>
        <w:t xml:space="preserve">our outstanding shares at fiscal year end 2025. We expect to continue buyback activity in the coming quarters, using a portion of land sale proceeds to fund the repurchases.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the Company is uniquely positioned to address affordability concerns of today’s buyers and deliver a superior product and buying experience. Our differentiated strategy focuses 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Advanced Home Performance</w:t>
      </w:r>
      <w:r>
        <w:rPr>
          <w:rFonts w:ascii="Times New Roman;serif" w:hAnsi="Times New Roman;serif"/>
          <w:b w:val="false"/>
          <w:color w:val="000000"/>
          <w:sz w:val="20"/>
        </w:rPr>
        <w:t>, which provides energy savings and lower utility bills, cleaner air, and a quieter and more durable home,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Curated Choices</w:t>
      </w:r>
      <w:r>
        <w:rPr>
          <w:rFonts w:ascii="Times New Roman;serif" w:hAnsi="Times New Roman;serif"/>
          <w:b w:val="false"/>
          <w:color w:val="000000"/>
          <w:sz w:val="20"/>
        </w:rPr>
        <w:t>, which include competitive mortgage pricing to drive customer savings, and a range of floorplan and style options,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Elevated Experiences</w:t>
      </w:r>
      <w:r>
        <w:rPr>
          <w:rFonts w:ascii="Times New Roman;serif" w:hAnsi="Times New Roman;serif"/>
          <w:b w:val="false"/>
          <w:color w:val="000000"/>
          <w:sz w:val="20"/>
        </w:rPr>
        <w:t>, highlighting our easy shopping process and trusted homebuyer support teams to drive high customer satisfaction,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Community Impact</w:t>
      </w:r>
      <w:r>
        <w:rPr>
          <w:rFonts w:ascii="Times New Roman;serif" w:hAnsi="Times New Roman;serif"/>
          <w:b w:val="false"/>
          <w:color w:val="000000"/>
          <w:sz w:val="20"/>
        </w:rPr>
        <w:t xml:space="preserve">, featuring the Beazer Charity Foundation and our commitment to make a positive impact in the communities where we build.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Together, these lower the total ongoing costs of homeownership and deliver meaningful financial and lifestyle benefits that make buying a Beazer home more attainable and rewarding.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continue to work towards our Multi-Year Goals, which include reaching more than 200 active communities by the end of fiscal 2027, reducing our net debt to net capitalization ratio to the low-30% range by the end of fiscal 2027, and achieving a double-digit compound annual growth rate in book value per share from the end of fiscal 2024 through fiscal 2027. We are confident in our differentiated product strategy, the value of our assets, and our ability to generate improving returns for our shareholders.</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Overview of Results for Our Fiscal Second Quarter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is a summary of our performance against certain key operating and financial metrics during the quarter ended </w:t>
      </w:r>
      <w:r>
        <w:rPr>
          <w:rFonts w:ascii="Times New Roman;serif" w:hAnsi="Times New Roman;serif"/>
          <w:b w:val="false"/>
          <w:color w:val="000000"/>
          <w:sz w:val="20"/>
        </w:rPr>
        <w:t>March 31, 2026 and a comparison to the quarter ended March 31, 2025</w:t>
      </w:r>
      <w:r>
        <w:rPr>
          <w:rFonts w:ascii="Times New Roman;serif" w:hAnsi="Times New Roman;serif"/>
          <w:b w:val="false"/>
          <w:color w:val="000000"/>
          <w:sz w:val="20"/>
          <w:shd w:fill="FFFFFF" w:val="clear"/>
        </w:rPr>
        <w:t xml:space="preserve">: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During the quarter ended March 31, 2026, our average active community count of 167 was up 2.9% from 163 in the prior year quarter. </w:t>
      </w:r>
      <w:r>
        <w:rPr>
          <w:rFonts w:ascii="Times New Roman;serif" w:hAnsi="Times New Roman;serif"/>
          <w:b w:val="false"/>
          <w:color w:val="000000"/>
          <w:sz w:val="20"/>
          <w:shd w:fill="FFFFFF" w:val="clear"/>
        </w:rPr>
        <w:t>We ended the quarter with</w:t>
      </w:r>
      <w:r>
        <w:rPr>
          <w:color w:val="000000"/>
        </w:rPr>
        <w:t xml:space="preserve"> </w:t>
      </w:r>
      <w:r>
        <w:rPr>
          <w:rFonts w:ascii="Times New Roman;serif" w:hAnsi="Times New Roman;serif"/>
          <w:b w:val="false"/>
          <w:color w:val="000000"/>
          <w:sz w:val="20"/>
        </w:rPr>
        <w:t>169 active communities, up 4.3% from 162 a year ago, as we continue to make strides towards reaching 200 active communities by the end of fiscal 2027.</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During the quarter ended March 31, 2026, orders per community per month were 2.1 compared to 2.3 in the prior year quarter, and our net new orders were 1,048, down 4.6% from 1,098 in the prior year quarter</w:t>
      </w:r>
      <w:r>
        <w:rPr>
          <w:rFonts w:ascii="Times New Roman;serif" w:hAnsi="Times New Roman;serif"/>
          <w:b w:val="false"/>
          <w:color w:val="000000"/>
          <w:sz w:val="20"/>
          <w:shd w:fill="FFFFFF" w:val="clear"/>
        </w:rPr>
        <w:t>. The decrease in sales pace compared to the prior year reflected weaker consumer sentiment driven by affordability challenges and uncertainties in the macroeconomic environment. We continue to adjust prices, features and incentives to align with the current competitive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As of March 31, 2026, our land position included 24,824 controlled lots, down 12.3% from 28,290 as of March 31, 2025. </w:t>
      </w:r>
      <w:r>
        <w:rPr>
          <w:rFonts w:ascii="Times New Roman;serif" w:hAnsi="Times New Roman;serif"/>
          <w:b w:val="false"/>
          <w:color w:val="000000"/>
          <w:sz w:val="20"/>
          <w:shd w:fill="FFFFFF" w:val="clear"/>
        </w:rPr>
        <w:t xml:space="preserve">We invested $187.0 million in land acquisition and land development during the quarter ended March 31, 2026,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$197.0 million</w:t>
      </w:r>
      <w:r>
        <w:rPr>
          <w:color w:val="000000"/>
          <w:shd w:fill="FFFFFF" w:val="clear"/>
        </w:rPr>
        <w:t xml:space="preserve"> </w:t>
      </w:r>
      <w:r>
        <w:rPr>
          <w:rFonts w:ascii="Times New Roman;serif" w:hAnsi="Times New Roman;serif"/>
          <w:b w:val="false"/>
          <w:color w:val="000000"/>
          <w:sz w:val="20"/>
          <w:shd w:fill="FFFFFF" w:val="clear"/>
        </w:rPr>
        <w:t>during the quarter ended March 31, 2025. We continued to manage our land spend and lot position to improve our capital efficiency and support future community count growth. As part of these efforts, we have realigned the portfolio, divested non-strategic assets, and improved the efficiency of our land spend by using lot option agreements. As of March 31, 2026, we had 14,145 lots, or 59.9% of our total active lots, under option agreements as compared to 16,322 lots, or 59.3% of our total active lots, under option agreements as of March 31, 2025.</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Our Average Selling Price (ASP) for homes closed during the quarter ended March 31, 2026 was $525.4 thousand, up 2.0% from $515.3 thousand in the prior year quarter.</w:t>
      </w:r>
      <w:r>
        <w:rPr>
          <w:color w:val="000000"/>
          <w:shd w:fill="FFFFFF" w:val="clear"/>
        </w:rPr>
        <w:t xml:space="preserve"> </w:t>
      </w:r>
      <w:r>
        <w:rPr>
          <w:rFonts w:ascii="Times New Roman;serif" w:hAnsi="Times New Roman;serif"/>
          <w:b w:val="false"/>
          <w:color w:val="000000"/>
          <w:sz w:val="20"/>
          <w:shd w:fill="FFFFFF" w:val="clear"/>
        </w:rPr>
        <w:t>Our backlog ASP as of March 31, 2026 was $582.1 thousand, up 6.8% from $544.9 thousand in the prior year quarter. The increase in closing and backlog ASP compared to the prior year quarter was primarily due to changes in product and community mix.</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Homebuilding gross margin for the quarter ended March 31, 2026 was 12.0%, down from 15.1% compared to the prior year quarter. </w:t>
      </w:r>
      <w:r>
        <w:rPr>
          <w:rFonts w:ascii="Times New Roman;serif" w:hAnsi="Times New Roman;serif"/>
          <w:b w:val="false"/>
          <w:color w:val="000000"/>
          <w:sz w:val="20"/>
          <w:shd w:fill="FFFFFF" w:val="clear"/>
        </w:rPr>
        <w:t>Homebuilding gross margin was impacted by inventory impairment and abandonment charges of $1.3 million during the quarter ended March 31, 2026 related to a project in progress community in our Houston market, principally due to a reduction in price driven by the competitive market dynamics. Refer to Note 4 to the condensed consolidated financial statements included in this Form 10-Q for further discussion. Homebuilding gross margin, excluding impairments, abandonments and interest amortization, for the quarter ended March 31, 2026 was 15.6%, down from 18.3% in the prior year quarter. The decrease in homebuilding gross margin compared to the prior year quarter was primarily due to an increase in price concessions and closing cost incentives, and changes in product and community mix.</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SG&amp;A for the quarter ended March 31, 2026 was 15.5% of total revenue, up from 12.0% in the prior year quarter. </w:t>
      </w:r>
      <w:r>
        <w:rPr>
          <w:rFonts w:ascii="Times New Roman;serif" w:hAnsi="Times New Roman;serif"/>
          <w:b w:val="false"/>
          <w:color w:val="000000"/>
          <w:sz w:val="20"/>
          <w:shd w:fill="FFFFFF" w:val="clear"/>
        </w:rPr>
        <w:t xml:space="preserve">The increase in SG&amp;A as a percentage of total revenue compared to the prior year quarter was primarily due to lower homebuilding revenue. SG&amp;A expense was </w:t>
      </w:r>
      <w:r>
        <w:rPr>
          <w:rFonts w:ascii="Times New Roman;serif" w:hAnsi="Times New Roman;serif"/>
          <w:b w:val="false"/>
          <w:color w:val="000000"/>
          <w:sz w:val="20"/>
        </w:rPr>
        <w:t>$63.6 million</w:t>
      </w:r>
      <w:r>
        <w:rPr>
          <w:color w:val="000000"/>
          <w:shd w:fill="FFFFFF" w:val="clear"/>
        </w:rPr>
        <w:t xml:space="preserve"> </w:t>
      </w:r>
      <w:r>
        <w:rPr>
          <w:rFonts w:ascii="Times New Roman;serif" w:hAnsi="Times New Roman;serif"/>
          <w:b w:val="false"/>
          <w:color w:val="000000"/>
          <w:sz w:val="20"/>
          <w:shd w:fill="FFFFFF" w:val="clear"/>
        </w:rPr>
        <w:t xml:space="preserve">for the quarter ended March 31, 2026, down </w:t>
      </w:r>
      <w:r>
        <w:rPr>
          <w:rFonts w:ascii="Times New Roman;serif" w:hAnsi="Times New Roman;serif"/>
          <w:b w:val="false"/>
          <w:color w:val="000000"/>
          <w:sz w:val="20"/>
        </w:rPr>
        <w:t xml:space="preserve">6.5% </w:t>
      </w:r>
      <w:r>
        <w:rPr>
          <w:rFonts w:ascii="Times New Roman;serif" w:hAnsi="Times New Roman;serif"/>
          <w:b w:val="false"/>
          <w:color w:val="000000"/>
          <w:sz w:val="20"/>
          <w:shd w:fill="FFFFFF" w:val="clear"/>
        </w:rPr>
        <w:t>compared to the prior year quarter primarily due to lower commissions. We remain focused on prudently managing overhead costs.</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Seasonal and Quarterly Variability</w:t>
      </w:r>
    </w:p>
    <w:p>
      <w:pPr>
        <w:pStyle w:val="TextBody"/>
        <w:bidi w:val="0"/>
        <w:spacing w:lineRule="auto" w:line="288" w:before="180" w:after="283"/>
        <w:jc w:val="both"/>
        <w:rPr/>
      </w:pPr>
      <w:r>
        <w:rPr>
          <w:rFonts w:ascii="Times New Roman;serif" w:hAnsi="Times New Roman;serif"/>
          <w:b w:val="false"/>
          <w:color w:val="000000"/>
          <w:sz w:val="20"/>
          <w:shd w:fill="FFFFFF" w:val="clear"/>
        </w:rPr>
        <w:t>Our homebuilding operating cycle historically has reflected escalating new order activity in the second and third fiscal quarters and increased closings in the third and fourth fiscal quarters. However, these seasonal patterns may be impacted by a variety of factors, including periods of market volatility and changes in mortgage interest rates, which may result in increased or decreased new orders and/or revenues and closings that are outside of the normal ranges typically realized on account of seasonality. Accordingly</w:t>
      </w:r>
      <w:r>
        <w:rPr>
          <w:rFonts w:ascii="Times New Roman;serif" w:hAnsi="Times New Roman;serif"/>
          <w:b w:val="false"/>
          <w:color w:val="000000"/>
          <w:sz w:val="20"/>
        </w:rPr>
        <w:t>, our financial results for the three and six months ended March 31, 2026 may not be indicative of our full year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key income statement metrics for the periods presented:</w:t>
      </w:r>
    </w:p>
    <w:tbl>
      <w:tblPr>
        <w:tblW w:w="10205" w:type="dxa"/>
        <w:jc w:val="center"/>
        <w:tblInd w:w="0" w:type="dxa"/>
        <w:tblLayout w:type="fixed"/>
        <w:tblCellMar>
          <w:top w:w="28" w:type="dxa"/>
          <w:left w:w="28" w:type="dxa"/>
          <w:bottom w:w="28" w:type="dxa"/>
          <w:right w:w="28" w:type="dxa"/>
        </w:tblCellMar>
      </w:tblPr>
      <w:tblGrid>
        <w:gridCol w:w="1311"/>
        <w:gridCol w:w="1073"/>
        <w:gridCol w:w="1082"/>
        <w:gridCol w:w="211"/>
        <w:gridCol w:w="841"/>
        <w:gridCol w:w="361"/>
        <w:gridCol w:w="109"/>
        <w:gridCol w:w="109"/>
        <w:gridCol w:w="109"/>
        <w:gridCol w:w="211"/>
        <w:gridCol w:w="826"/>
        <w:gridCol w:w="331"/>
        <w:gridCol w:w="109"/>
        <w:gridCol w:w="109"/>
        <w:gridCol w:w="109"/>
        <w:gridCol w:w="211"/>
        <w:gridCol w:w="841"/>
        <w:gridCol w:w="361"/>
        <w:gridCol w:w="109"/>
        <w:gridCol w:w="109"/>
        <w:gridCol w:w="109"/>
        <w:gridCol w:w="211"/>
        <w:gridCol w:w="976"/>
        <w:gridCol w:w="377"/>
      </w:tblGrid>
      <w:tr>
        <w:trPr/>
        <w:tc>
          <w:tcPr>
            <w:tcW w:w="131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397,748</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556,032 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757,490</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1,016,454 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12,098</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15,847</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409,846</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565,339 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773,337</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1,034,292 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47,639</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85,055</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154,107 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1,061</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48,700</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85,904</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158,076 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Homebuilding</w:t>
            </w:r>
            <w:r>
              <w:rPr>
                <w:rFonts w:ascii="Times New Roman;serif" w:hAnsi="Times New Roman;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Land sales and other</w:t>
            </w:r>
            <w:r>
              <w:rPr>
                <w:rFonts w:ascii="Times New Roman;serif" w:hAnsi="Times New Roman;serif"/>
                <w:b w:val="false"/>
                <w:color w:val="000000"/>
                <w:sz w:val="13"/>
              </w:rPr>
              <w:t>(b)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Commissions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13,390</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25,406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and administrative expenses (G&amp;A)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50,194</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103,183</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SG&amp;A (commissions plus G&amp;A) as a percentage of total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G&amp;A as a percentage of total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4,084</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8,126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(18,968)</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(50,811)</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15,507 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 as a percentage of total revenue</w:t>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Effective tax rate</w:t>
            </w:r>
            <w:r>
              <w:rPr>
                <w:rFonts w:ascii="Times New Roman;serif" w:hAnsi="Times New Roman;serif"/>
                <w:b/>
                <w:color w:val="000000"/>
                <w:sz w:val="13"/>
              </w:rPr>
              <w:t>(c)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95.1</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 impairments and abandonments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3,665</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Excluding impairments, abandonments, and interest amortized to cost of sales, homebuilding gross margin was 15.6% and 18.3% for the three months ended March 31, 2026 and 2025, respectively, and 14.9% and 18.3% for the six months ended March 31, 2026 and 2025, respectivel</w:t>
      </w:r>
      <w:r>
        <w:rPr>
          <w:rFonts w:ascii="Times New Roman;serif" w:hAnsi="Times New Roman;serif"/>
          <w:b w:val="false"/>
          <w:color w:val="000000"/>
          <w:sz w:val="20"/>
          <w:shd w:fill="FFFFFF" w:val="clear"/>
        </w:rPr>
        <w:t>y. A litigation-related charge was recognized during the six months ended March 31, 2026, which reduced homebuilding gross margin, excluding impairments, abandonments, and interest, by 0.8%. Plea</w:t>
      </w:r>
      <w:r>
        <w:rPr>
          <w:rFonts w:ascii="Times New Roman;serif" w:hAnsi="Times New Roman;serif"/>
          <w:b w:val="false"/>
          <w:color w:val="000000"/>
          <w:sz w:val="20"/>
        </w:rPr>
        <w:t xml:space="preserve">se see the "Homebuilding Gross Profit and Gross Margin" section below for a reconciliation of homebuilding gross profit and the related gross margin excluding impairments and abandonments and interest amortized to </w:t>
      </w:r>
      <w:r>
        <w:rPr>
          <w:rFonts w:ascii="Times New Roman;serif" w:hAnsi="Times New Roman;serif"/>
          <w:b w:val="false"/>
          <w:color w:val="000000"/>
          <w:sz w:val="20"/>
          <w:shd w:fill="FFFFFF" w:val="clear"/>
        </w:rPr>
        <w:t>cost of sales (non-GAAP measures) to homebuilding gross profit and gross margin, the most directly comparable GAAP measure.</w:t>
      </w:r>
    </w:p>
    <w:p>
      <w:pPr>
        <w:pStyle w:val="TextBody"/>
        <w:bidi w:val="0"/>
        <w:spacing w:lineRule="auto" w:line="288" w:before="180" w:after="283"/>
        <w:ind w:left="0" w:right="0" w:hanging="180"/>
        <w:jc w:val="left"/>
        <w:rPr/>
      </w:pPr>
      <w:r>
        <w:rPr>
          <w:rFonts w:ascii="Times New Roman;serif" w:hAnsi="Times New Roman;serif"/>
          <w:b w:val="false"/>
          <w:color w:val="000000"/>
          <w:sz w:val="13"/>
          <w:shd w:fill="FFFFFF" w:val="clear"/>
        </w:rPr>
        <w:t xml:space="preserve">(b) </w:t>
      </w:r>
      <w:r>
        <w:rPr>
          <w:rFonts w:ascii="Times New Roman;serif" w:hAnsi="Times New Roman;serif"/>
          <w:b w:val="false"/>
          <w:color w:val="000000"/>
          <w:sz w:val="20"/>
          <w:shd w:fill="FFFFFF" w:val="clear"/>
        </w:rPr>
        <w:t>Calculated as land sales and other gross profit divided by land sales and other revenue.</w:t>
      </w:r>
    </w:p>
    <w:p>
      <w:pPr>
        <w:pStyle w:val="TextBody"/>
        <w:bidi w:val="0"/>
        <w:spacing w:lineRule="auto" w:line="288" w:before="180" w:after="283"/>
        <w:ind w:left="0" w:right="0" w:hanging="180"/>
        <w:jc w:val="left"/>
        <w:rPr/>
      </w:pPr>
      <w:r>
        <w:rPr>
          <w:rFonts w:ascii="Times New Roman;serif" w:hAnsi="Times New Roman;serif"/>
          <w:b w:val="false"/>
          <w:color w:val="000000"/>
          <w:sz w:val="13"/>
          <w:shd w:fill="FFFFFF" w:val="clear"/>
        </w:rPr>
        <w:t>(c)</w:t>
      </w:r>
      <w:r>
        <w:rPr>
          <w:color w:val="000000"/>
          <w:shd w:fill="FFFFFF" w:val="clear"/>
        </w:rPr>
        <w:t xml:space="preserve"> </w:t>
      </w:r>
      <w:r>
        <w:rPr>
          <w:rFonts w:ascii="Times New Roman;serif" w:hAnsi="Times New Roman;serif"/>
          <w:b w:val="false"/>
          <w:color w:val="000000"/>
          <w:sz w:val="20"/>
          <w:shd w:fill="FFFFFF" w:val="clear"/>
        </w:rPr>
        <w:t>Calculated as tax</w:t>
      </w:r>
      <w:r>
        <w:rPr>
          <w:color w:val="000000"/>
        </w:rPr>
        <w:t xml:space="preserve"> </w:t>
      </w:r>
      <w:r>
        <w:rPr>
          <w:rFonts w:ascii="Times New Roman;serif" w:hAnsi="Times New Roman;serif"/>
          <w:b w:val="false"/>
          <w:color w:val="000000"/>
          <w:sz w:val="20"/>
        </w:rPr>
        <w:t xml:space="preserve">(benefit) expense for the period divided by (loss) income before income taxes. Our income tax (benefit) </w:t>
      </w:r>
      <w:r>
        <w:rPr>
          <w:rFonts w:ascii="Times New Roman;serif" w:hAnsi="Times New Roman;serif"/>
          <w:b w:val="false"/>
          <w:color w:val="000000"/>
          <w:sz w:val="20"/>
          <w:shd w:fill="FFFFFF" w:val="clear"/>
        </w:rPr>
        <w:t xml:space="preserve">expense is not always directly correlated to the amount of pre-tax (loss) income for the associated period due to a variety of factors, including, but not limited to, the impact of tax credits and permanent differences. </w:t>
      </w:r>
      <w:r>
        <w:rPr>
          <w:rFonts w:ascii="Times New Roman;serif" w:hAnsi="Times New Roman;serif"/>
          <w:b w:val="false"/>
          <w:color w:val="000000"/>
          <w:sz w:val="20"/>
        </w:rPr>
        <w:t>Our tax credits are predominantly due to the energy efficiency of our homes, with credits valued between $2,000 and $5,000 per single family home. On July 4, 2025, the One Big Beautiful Bill Act (OBBBA) was signed into law. The OBBBA repeals many of the energy efficiency credits enacted under the Inflation Reduction Act, including our ability to claim energy efficient new home tax credits for homes that close after June 30, 2026. For the three and six months ended March 31, 2026, the Company's effective tax rates were also affected by a change in the approach used to calculate the interim income tax provision, reducing comparability with the prior year periods. Refer to Note 10 to the condensed consolidated financial statements included in this Form 10-Q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hanging="180"/>
        <w:jc w:val="left"/>
        <w:rPr>
          <w:rFonts w:ascii="Times New Roman;serif" w:hAnsi="Times New Roman;serif"/>
          <w:b/>
          <w:color w:val="000000"/>
          <w:sz w:val="20"/>
        </w:rPr>
      </w:pPr>
      <w:r>
        <w:rPr>
          <w:rFonts w:ascii="Times New Roman;serif" w:hAnsi="Times New Roman;serif"/>
          <w:b/>
          <w:color w:val="000000"/>
          <w:sz w:val="20"/>
        </w:rPr>
        <w:t>Reconciliation of Net (Loss) Income (GAAP) to Adjusted EBITDA (Non-GAAP)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Net (Loss) Income (GAAP measure) to Adjusted EBITDA (Non-GAAP measure) is provided for each period discussed below. Management believes that Adjusted EBITDA assists investors in understanding and comparing core operating results and underlying business trends by eliminating many of the differences in companies' respective capitalization, tax position, level of impairments, and other non-recurring items. This non-GAAP financial measure may not be comparable to other similarly titled measures of other companies and should not be considered in isolation or as a substitute for, or superior to, financial measures prepared in accordance with GAAP.</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our net (loss) income (GAAP) to Adjusted EBITDA (non-GAAP) for the periods presented:</w:t>
      </w:r>
    </w:p>
    <w:tbl>
      <w:tblPr>
        <w:tblW w:w="12751" w:type="dxa"/>
        <w:jc w:val="left"/>
        <w:tblInd w:w="0" w:type="dxa"/>
        <w:tblLayout w:type="fixed"/>
        <w:tblCellMar>
          <w:top w:w="28" w:type="dxa"/>
          <w:left w:w="28" w:type="dxa"/>
          <w:bottom w:w="28" w:type="dxa"/>
          <w:right w:w="28" w:type="dxa"/>
        </w:tblCellMar>
      </w:tblPr>
      <w:tblGrid>
        <w:gridCol w:w="824"/>
        <w:gridCol w:w="263"/>
        <w:gridCol w:w="264"/>
        <w:gridCol w:w="196"/>
        <w:gridCol w:w="571"/>
        <w:gridCol w:w="109"/>
        <w:gridCol w:w="109"/>
        <w:gridCol w:w="109"/>
        <w:gridCol w:w="109"/>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736"/>
        <w:gridCol w:w="109"/>
        <w:gridCol w:w="109"/>
        <w:gridCol w:w="109"/>
        <w:gridCol w:w="109"/>
        <w:gridCol w:w="196"/>
        <w:gridCol w:w="75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LTM Ended March 31,</w:t>
            </w:r>
            <w:r>
              <w:rPr>
                <w:rFonts w:ascii="Times New Roman;serif" w:hAnsi="Times New Roman;serif"/>
                <w:b/>
                <w:color w:val="000000"/>
                <w:sz w:val="10"/>
              </w:rPr>
              <w:t>(a)</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(99,005)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amortized to home construction and land sales expenses and capitalized interest impaired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 (Non-GAAP)</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46,929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(133,311)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(Non-GAAP)</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65,521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(132,482)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Inventory impairments and abandonments</w:t>
            </w:r>
            <w:r>
              <w:rPr>
                <w:rFonts w:ascii="Times New Roman;serif" w:hAnsi="Times New Roman;serif"/>
                <w:b w:val="false"/>
                <w:color w:val="000000"/>
                <w:sz w:val="13"/>
              </w:rPr>
              <w:t>(b)</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(36,236)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(70,522)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87,197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(121,284)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"LTM" indicates amounts for the trailing 12 months.</w:t>
      </w:r>
    </w:p>
    <w:p>
      <w:pPr>
        <w:pStyle w:val="TextBody"/>
        <w:bidi w:val="0"/>
        <w:spacing w:lineRule="auto" w:line="288" w:before="120" w:after="283"/>
        <w:ind w:left="0" w:right="0" w:hanging="18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In periods during which we impaired certain of our inventory assets, capitalized interest that is impaired is included in the line above titled "Interest amortized to home construction and land sales expenses and capitalized interest impaired."</w:t>
      </w:r>
    </w:p>
    <w:p>
      <w:pPr>
        <w:pStyle w:val="TextBody"/>
        <w:bidi w:val="0"/>
        <w:spacing w:before="12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Total Debt to Total Capitalization Ratio (GAAP) to Net Debt to Net Capitalization Ratio (Non-GAAP)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total debt to total capitalization ratio (GAAP measure) to net debt to net capitalization ratio (non-GAAP measure) is provided for each period below. Management believes that net debt to net capitalization ratio is useful in understanding the leverage employed in our operations and as an indicator of our ability to obtain financing. This non-GAAP financial measure may not be comparable to other similarly titled measures of other companies and should not be considered in isolation or as a substitute for, or superior to, financial measures prepared in accordance with GAAP.</w:t>
      </w:r>
    </w:p>
    <w:tbl>
      <w:tblPr>
        <w:tblW w:w="7691" w:type="dxa"/>
        <w:jc w:val="left"/>
        <w:tblInd w:w="0" w:type="dxa"/>
        <w:tblLayout w:type="fixed"/>
        <w:tblCellMar>
          <w:top w:w="28" w:type="dxa"/>
          <w:left w:w="28" w:type="dxa"/>
          <w:bottom w:w="28" w:type="dxa"/>
          <w:right w:w="28" w:type="dxa"/>
        </w:tblCellMar>
      </w:tblPr>
      <w:tblGrid>
        <w:gridCol w:w="1445"/>
        <w:gridCol w:w="1270"/>
        <w:gridCol w:w="1275"/>
        <w:gridCol w:w="235"/>
        <w:gridCol w:w="1108"/>
        <w:gridCol w:w="336"/>
        <w:gridCol w:w="109"/>
        <w:gridCol w:w="109"/>
        <w:gridCol w:w="109"/>
        <w:gridCol w:w="238"/>
        <w:gridCol w:w="1101"/>
        <w:gridCol w:w="356"/>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March 31, 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1,225,996</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1,082,231 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1,170,780</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1,228,067 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(GAAP)</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2,396,776</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2,310,298 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 ratio (GAAP)</w:t>
            </w:r>
          </w:p>
        </w:tc>
        <w:tc>
          <w:tcPr>
            <w:tcW w:w="13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w:t>
            </w:r>
            <w:r>
              <w:rPr>
                <w:color w:val="000000"/>
              </w:rPr>
              <w:t>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1,225,996</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1,082,231 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(GAAP)</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116,440</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(Non-GAAP)</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1,109,556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997,149 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1,170,780</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1,228,067 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capitalization (Non-GAAP)</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2,280,336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2,225,216 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net capitalization ratio (Non-GAAP)</w:t>
            </w:r>
          </w:p>
        </w:tc>
        <w:tc>
          <w:tcPr>
            <w:tcW w:w="134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w:t>
            </w:r>
            <w:r>
              <w:rPr>
                <w:color w:val="000000"/>
              </w:rPr>
              <w:t> </w:t>
            </w:r>
          </w:p>
        </w:tc>
        <w:tc>
          <w:tcPr>
            <w:tcW w:w="3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Homebuilding Operations Data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net new orders and cancellation rates by reportable segment for the periods presented: </w:t>
      </w:r>
    </w:p>
    <w:tbl>
      <w:tblPr>
        <w:tblW w:w="6527" w:type="dxa"/>
        <w:jc w:val="center"/>
        <w:tblInd w:w="0" w:type="dxa"/>
        <w:tblLayout w:type="fixed"/>
        <w:tblCellMar>
          <w:top w:w="28" w:type="dxa"/>
          <w:left w:w="28" w:type="dxa"/>
          <w:bottom w:w="28" w:type="dxa"/>
          <w:right w:w="28" w:type="dxa"/>
        </w:tblCellMar>
      </w:tblPr>
      <w:tblGrid>
        <w:gridCol w:w="330"/>
        <w:gridCol w:w="290"/>
        <w:gridCol w:w="296"/>
        <w:gridCol w:w="314"/>
        <w:gridCol w:w="317"/>
        <w:gridCol w:w="156"/>
        <w:gridCol w:w="109"/>
        <w:gridCol w:w="109"/>
        <w:gridCol w:w="109"/>
        <w:gridCol w:w="308"/>
        <w:gridCol w:w="308"/>
        <w:gridCol w:w="156"/>
        <w:gridCol w:w="109"/>
        <w:gridCol w:w="109"/>
        <w:gridCol w:w="109"/>
        <w:gridCol w:w="291"/>
        <w:gridCol w:w="294"/>
        <w:gridCol w:w="409"/>
        <w:gridCol w:w="109"/>
        <w:gridCol w:w="109"/>
        <w:gridCol w:w="109"/>
        <w:gridCol w:w="263"/>
        <w:gridCol w:w="263"/>
        <w:gridCol w:w="330"/>
        <w:gridCol w:w="119"/>
        <w:gridCol w:w="119"/>
        <w:gridCol w:w="119"/>
        <w:gridCol w:w="255"/>
        <w:gridCol w:w="256"/>
        <w:gridCol w:w="353"/>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Orders,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Cancellation Rates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Orders,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Cancellation Rates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(15.7)</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new orders for the quarter ended March 31, 2026 decreased to 1,048, down 4.6% from the quarter ended March 31, 2025. The decrease in net new orders compared to the prior year quarter was driven by a 7.2% decrease in sales pace from 2.3 orders per community per month in the prior year quarter to 2.1, partially offset by a 2.9% increase in average active community count from 163 in the prior year quarter to 167.</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new orders for the six months ended March 31, 2026 decreased to 1,811, down 10.8% from the six months ended March 31, 2025. The decrease in net new orders compared to the prior year period was driven by a 13.6% decrease in sales pace from 2.1 orders per community per month in the prior year period to 1.8, partially offset by a 3.3% increase in average active community count from 162 in the prior year period to 167.</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Months Ended March 31, 2026 as compared to 2025</w:t>
      </w:r>
    </w:p>
    <w:p>
      <w:pPr>
        <w:pStyle w:val="TextBody"/>
        <w:bidi w:val="0"/>
        <w:spacing w:lineRule="auto" w:line="288" w:before="180" w:after="283"/>
        <w:jc w:val="both"/>
        <w:rPr/>
      </w:pPr>
      <w:r>
        <w:rPr>
          <w:rFonts w:ascii="Times New Roman;serif" w:hAnsi="Times New Roman;serif"/>
          <w:b w:val="false"/>
          <w:i/>
          <w:color w:val="000000"/>
          <w:sz w:val="20"/>
          <w:shd w:fill="FFFFFF" w:val="clear"/>
        </w:rPr>
        <w:t xml:space="preserve">West Segment: </w:t>
      </w:r>
      <w:r>
        <w:rPr>
          <w:rFonts w:ascii="Times New Roman;serif" w:hAnsi="Times New Roman;serif"/>
          <w:b w:val="false"/>
          <w:color w:val="000000"/>
          <w:sz w:val="20"/>
          <w:shd w:fill="FFFFFF" w:val="clear"/>
        </w:rPr>
        <w:t xml:space="preserve">Net new orders for the quarter ended March 31, 2026 </w:t>
      </w:r>
      <w:r>
        <w:rPr>
          <w:rFonts w:ascii="Times New Roman;serif" w:hAnsi="Times New Roman;serif"/>
          <w:b w:val="false"/>
          <w:color w:val="000000"/>
          <w:sz w:val="20"/>
        </w:rPr>
        <w:t>decrease</w:t>
      </w:r>
      <w:r>
        <w:rPr>
          <w:rFonts w:ascii="Times New Roman;serif" w:hAnsi="Times New Roman;serif"/>
          <w:b w:val="false"/>
          <w:color w:val="000000"/>
          <w:sz w:val="20"/>
          <w:shd w:fill="FFFFFF" w:val="clear"/>
        </w:rPr>
        <w:t xml:space="preserve">d to 599,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9.9% from the quarter ended March 31, 2025. The decrease in net new orders compared to the prior year quarter was driven by a 12.5% decrease in sales pace from 2.2 orders per community per month in the prior year quarter to 1.9, partially offset by a 3.0% increase in average active community count from 101 in the prior year quarter to 104.</w:t>
      </w:r>
    </w:p>
    <w:p>
      <w:pPr>
        <w:pStyle w:val="TextBody"/>
        <w:bidi w:val="0"/>
        <w:spacing w:lineRule="auto" w:line="288" w:before="180" w:after="283"/>
        <w:jc w:val="both"/>
        <w:rPr/>
      </w:pPr>
      <w:r>
        <w:rPr>
          <w:rFonts w:ascii="Times New Roman;serif" w:hAnsi="Times New Roman;serif"/>
          <w:b w:val="false"/>
          <w:i/>
          <w:color w:val="000000"/>
          <w:sz w:val="20"/>
          <w:shd w:fill="FFFFFF" w:val="clear"/>
        </w:rPr>
        <w:t>East Segment:</w:t>
      </w:r>
      <w:r>
        <w:rPr>
          <w:color w:val="000000"/>
          <w:shd w:fill="FFFFFF" w:val="clear"/>
        </w:rPr>
        <w:t xml:space="preserve"> </w:t>
      </w:r>
      <w:r>
        <w:rPr>
          <w:rFonts w:ascii="Times New Roman;serif" w:hAnsi="Times New Roman;serif"/>
          <w:b w:val="false"/>
          <w:color w:val="000000"/>
          <w:sz w:val="20"/>
          <w:shd w:fill="FFFFFF" w:val="clear"/>
        </w:rPr>
        <w:t xml:space="preserve">Net new orders for the quarter ended March 31, 2026 </w:t>
      </w:r>
      <w:r>
        <w:rPr>
          <w:rFonts w:ascii="Times New Roman;serif" w:hAnsi="Times New Roman;serif"/>
          <w:b w:val="false"/>
          <w:color w:val="000000"/>
          <w:sz w:val="20"/>
        </w:rPr>
        <w:t>decrease</w:t>
      </w:r>
      <w:r>
        <w:rPr>
          <w:rFonts w:ascii="Times New Roman;serif" w:hAnsi="Times New Roman;serif"/>
          <w:b w:val="false"/>
          <w:color w:val="000000"/>
          <w:sz w:val="20"/>
          <w:shd w:fill="FFFFFF" w:val="clear"/>
        </w:rPr>
        <w:t xml:space="preserve">d to 249,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3.1% from the quarter ended March 31, 2025. The decrease in net new orders compared to the prior year quarter was driven by a 9.3% decrease in average active community count from 36 in the prior year quarter to 32, partially offset by a 6.9% increase in sales pace from 2.4 orders per community per month in the prior year quarter to 2.6.</w:t>
      </w:r>
    </w:p>
    <w:p>
      <w:pPr>
        <w:pStyle w:val="TextBody"/>
        <w:bidi w:val="0"/>
        <w:spacing w:lineRule="auto" w:line="288" w:before="180" w:after="283"/>
        <w:jc w:val="both"/>
        <w:rPr/>
      </w:pPr>
      <w:r>
        <w:rPr>
          <w:rFonts w:ascii="Times New Roman;serif" w:hAnsi="Times New Roman;serif"/>
          <w:b w:val="false"/>
          <w:i/>
          <w:color w:val="000000"/>
          <w:sz w:val="20"/>
          <w:shd w:fill="FFFFFF" w:val="clear"/>
        </w:rPr>
        <w:t xml:space="preserve">Southeast Segment: </w:t>
      </w:r>
      <w:r>
        <w:rPr>
          <w:rFonts w:ascii="Times New Roman;serif" w:hAnsi="Times New Roman;serif"/>
          <w:b w:val="false"/>
          <w:color w:val="000000"/>
          <w:sz w:val="20"/>
          <w:shd w:fill="FFFFFF" w:val="clear"/>
        </w:rPr>
        <w:t xml:space="preserve">Net new orders for the quarter ended March 31, 2026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to 200, </w:t>
      </w:r>
      <w:r>
        <w:rPr>
          <w:rFonts w:ascii="Times New Roman;serif" w:hAnsi="Times New Roman;serif"/>
          <w:b w:val="false"/>
          <w:color w:val="000000"/>
          <w:sz w:val="20"/>
        </w:rPr>
        <w:t>up</w:t>
      </w:r>
      <w:r>
        <w:rPr>
          <w:color w:val="000000"/>
          <w:shd w:fill="FFFFFF" w:val="clear"/>
        </w:rPr>
        <w:t xml:space="preserve"> </w:t>
      </w:r>
      <w:r>
        <w:rPr>
          <w:rFonts w:ascii="Times New Roman;serif" w:hAnsi="Times New Roman;serif"/>
          <w:b w:val="false"/>
          <w:color w:val="000000"/>
          <w:sz w:val="20"/>
        </w:rPr>
        <w:t>13.6%</w:t>
      </w:r>
      <w:r>
        <w:rPr>
          <w:color w:val="000000"/>
          <w:shd w:fill="FFFFFF" w:val="clear"/>
        </w:rPr>
        <w:t xml:space="preserve"> </w:t>
      </w:r>
      <w:r>
        <w:rPr>
          <w:rFonts w:ascii="Times New Roman;serif" w:hAnsi="Times New Roman;serif"/>
          <w:b w:val="false"/>
          <w:color w:val="000000"/>
          <w:sz w:val="20"/>
          <w:shd w:fill="FFFFFF" w:val="clear"/>
        </w:rPr>
        <w:t xml:space="preserve">from the quarter ended March 31, 2025. The </w:t>
      </w:r>
      <w:r>
        <w:rPr>
          <w:rFonts w:ascii="Times New Roman;serif" w:hAnsi="Times New Roman;serif"/>
          <w:b w:val="false"/>
          <w:color w:val="000000"/>
          <w:sz w:val="20"/>
        </w:rPr>
        <w:t>increase in net new orders compared to the prior year quarter was</w:t>
      </w:r>
      <w:r>
        <w:rPr>
          <w:color w:val="000000"/>
          <w:shd w:fill="FFFFFF" w:val="clear"/>
        </w:rPr>
        <w:t xml:space="preserve"> </w:t>
      </w:r>
      <w:r>
        <w:rPr>
          <w:rFonts w:ascii="Times New Roman;serif" w:hAnsi="Times New Roman;serif"/>
          <w:b w:val="false"/>
          <w:color w:val="000000"/>
          <w:sz w:val="20"/>
          <w:shd w:fill="FFFFFF" w:val="clear"/>
        </w:rPr>
        <w:t xml:space="preserve">driven by a </w:t>
      </w:r>
      <w:r>
        <w:rPr>
          <w:rFonts w:ascii="Times New Roman;serif" w:hAnsi="Times New Roman;serif"/>
          <w:b w:val="false"/>
          <w:color w:val="000000"/>
          <w:sz w:val="20"/>
        </w:rPr>
        <w:t>19.2%</w:t>
      </w:r>
      <w:r>
        <w:rPr>
          <w:color w:val="000000"/>
          <w:shd w:fill="FFFFFF" w:val="clear"/>
        </w:rPr>
        <w:t xml:space="preserve"> </w:t>
      </w:r>
      <w:r>
        <w:rPr>
          <w:rFonts w:ascii="Times New Roman;serif" w:hAnsi="Times New Roman;serif"/>
          <w:b w:val="false"/>
          <w:color w:val="000000"/>
          <w:sz w:val="20"/>
        </w:rPr>
        <w:t xml:space="preserve">increase in </w:t>
      </w:r>
      <w:r>
        <w:rPr>
          <w:rFonts w:ascii="Times New Roman;serif" w:hAnsi="Times New Roman;serif"/>
          <w:b w:val="false"/>
          <w:color w:val="000000"/>
          <w:sz w:val="20"/>
          <w:shd w:fill="FFFFFF" w:val="clear"/>
        </w:rPr>
        <w:t>average active community count</w:t>
      </w:r>
      <w:r>
        <w:rPr>
          <w:color w:val="000000"/>
        </w:rPr>
        <w:t xml:space="preserve"> </w:t>
      </w:r>
      <w:r>
        <w:rPr>
          <w:rFonts w:ascii="Times New Roman;serif" w:hAnsi="Times New Roman;serif"/>
          <w:b w:val="false"/>
          <w:color w:val="000000"/>
          <w:sz w:val="20"/>
        </w:rPr>
        <w:t>from</w:t>
      </w:r>
      <w:r>
        <w:rPr>
          <w:color w:val="000000"/>
          <w:shd w:fill="FFFFFF" w:val="clear"/>
        </w:rPr>
        <w:t xml:space="preserve"> </w:t>
      </w:r>
      <w:r>
        <w:rPr>
          <w:rFonts w:ascii="Times New Roman;serif" w:hAnsi="Times New Roman;serif"/>
          <w:b w:val="false"/>
          <w:color w:val="000000"/>
          <w:sz w:val="20"/>
          <w:shd w:fill="FFFFFF" w:val="clear"/>
        </w:rPr>
        <w:t>26 in the prior year quarter to 31, partially offset by a 4.7% decrease in sales pace from 2.3 orders per community per month in the prior year quarter to 2.2. The growth in average active communities is mainly attributed to our Atlanta submarket.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Six Months Ended March 31, 2026 as compared to 2025</w:t>
      </w:r>
    </w:p>
    <w:p>
      <w:pPr>
        <w:pStyle w:val="TextBody"/>
        <w:bidi w:val="0"/>
        <w:spacing w:lineRule="auto" w:line="288" w:before="180" w:after="60"/>
        <w:jc w:val="both"/>
        <w:rPr/>
      </w:pPr>
      <w:r>
        <w:rPr>
          <w:rFonts w:ascii="Times New Roman;serif" w:hAnsi="Times New Roman;serif"/>
          <w:b w:val="false"/>
          <w:i/>
          <w:color w:val="000000"/>
          <w:sz w:val="20"/>
          <w:shd w:fill="FFFFFF" w:val="clear"/>
        </w:rPr>
        <w:t xml:space="preserve">West Segment: </w:t>
      </w:r>
      <w:r>
        <w:rPr>
          <w:rFonts w:ascii="Times New Roman;serif" w:hAnsi="Times New Roman;serif"/>
          <w:b w:val="false"/>
          <w:color w:val="000000"/>
          <w:sz w:val="20"/>
          <w:shd w:fill="FFFFFF" w:val="clear"/>
        </w:rPr>
        <w:t xml:space="preserve">Net new orders for the six months ended March 31, 2026 decreased to 1,057,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15.7% from the six months ended March 31, 2025. The decrease in net new orders was driven by an 18.8% decrease in sales pace from 2.1 orders per community per month to 1.7, partially offset by a 3.8% increase in average active community count from 102 to 106.</w:t>
      </w:r>
    </w:p>
    <w:p>
      <w:pPr>
        <w:pStyle w:val="TextBody"/>
        <w:bidi w:val="0"/>
        <w:spacing w:lineRule="auto" w:line="288" w:before="180" w:after="60"/>
        <w:jc w:val="both"/>
        <w:rPr/>
      </w:pPr>
      <w:r>
        <w:rPr>
          <w:rFonts w:ascii="Times New Roman;serif" w:hAnsi="Times New Roman;serif"/>
          <w:b w:val="false"/>
          <w:i/>
          <w:color w:val="000000"/>
          <w:sz w:val="20"/>
          <w:shd w:fill="FFFFFF" w:val="clear"/>
        </w:rPr>
        <w:t xml:space="preserve">East Segment: </w:t>
      </w:r>
      <w:r>
        <w:rPr>
          <w:rFonts w:ascii="Times New Roman;serif" w:hAnsi="Times New Roman;serif"/>
          <w:b w:val="false"/>
          <w:color w:val="000000"/>
          <w:sz w:val="20"/>
          <w:shd w:fill="FFFFFF" w:val="clear"/>
        </w:rPr>
        <w:t xml:space="preserve">Net new orders for the six months ended March 31, 2026 decreased to 425,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12.2% from the six months ended March 31, 2025. The decrease in net new orders was driven by a 10.3% decrease in average active community count from 36 to 32 and a 2.1% decrease in sales pace from 2.3 orders per community per month to 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60"/>
        <w:jc w:val="both"/>
        <w:rPr/>
      </w:pPr>
      <w:r>
        <w:rPr>
          <w:rFonts w:ascii="Times New Roman;serif" w:hAnsi="Times New Roman;serif"/>
          <w:b w:val="false"/>
          <w:i/>
          <w:color w:val="000000"/>
          <w:sz w:val="20"/>
          <w:shd w:fill="FFFFFF" w:val="clear"/>
        </w:rPr>
        <w:t xml:space="preserve">Southeast Segment: </w:t>
      </w:r>
      <w:r>
        <w:rPr>
          <w:rFonts w:ascii="Times New Roman;serif" w:hAnsi="Times New Roman;serif"/>
          <w:b w:val="false"/>
          <w:color w:val="000000"/>
          <w:sz w:val="20"/>
          <w:shd w:fill="FFFFFF" w:val="clear"/>
        </w:rPr>
        <w:t xml:space="preserve">Net new orders for the six months ended March 31, 2026 increased to 329, </w:t>
      </w:r>
      <w:r>
        <w:rPr>
          <w:rFonts w:ascii="Times New Roman;serif" w:hAnsi="Times New Roman;serif"/>
          <w:b w:val="false"/>
          <w:color w:val="000000"/>
          <w:sz w:val="20"/>
        </w:rPr>
        <w:t>up</w:t>
      </w:r>
      <w:r>
        <w:rPr>
          <w:color w:val="000000"/>
          <w:shd w:fill="FFFFFF" w:val="clear"/>
        </w:rPr>
        <w:t xml:space="preserve"> </w:t>
      </w:r>
      <w:r>
        <w:rPr>
          <w:rFonts w:ascii="Times New Roman;serif" w:hAnsi="Times New Roman;serif"/>
          <w:b w:val="false"/>
          <w:color w:val="000000"/>
          <w:sz w:val="20"/>
          <w:shd w:fill="FFFFFF" w:val="clear"/>
        </w:rPr>
        <w:t>12.7% from the six months ended March 31, 2025. The increase in net new orders was driven by a 20.8% increase in average active community count from 25 to 30, partially offset by a 6.7% decrease in sales pace from 2.0 orders per community per month to 1.8. The growth in average active communities is mainly attributed to our Atlanta submarket.</w:t>
      </w:r>
    </w:p>
    <w:p>
      <w:pPr>
        <w:pStyle w:val="TextBody"/>
        <w:bidi w:val="0"/>
        <w:spacing w:lineRule="auto" w:line="288" w:before="180" w:after="60"/>
        <w:jc w:val="both"/>
        <w:rPr/>
      </w:pPr>
      <w:r>
        <w:rPr>
          <w:rFonts w:ascii="Times New Roman;serif" w:hAnsi="Times New Roman;serif"/>
          <w:b w:val="false"/>
          <w:color w:val="000000"/>
          <w:sz w:val="20"/>
          <w:shd w:fill="FFFFFF" w:val="clear"/>
        </w:rPr>
        <w:t xml:space="preserve">The table below summarizes backlog units by reportable segment as well as </w:t>
      </w:r>
      <w:r>
        <w:rPr>
          <w:rFonts w:ascii="Times New Roman;serif" w:hAnsi="Times New Roman;serif"/>
          <w:b w:val="false"/>
          <w:color w:val="000000"/>
          <w:sz w:val="20"/>
        </w:rPr>
        <w:t>the aggregate dollar value and ASP of homes in backlog as of March 31, 2026 and 2025:</w:t>
      </w:r>
    </w:p>
    <w:tbl>
      <w:tblPr>
        <w:tblW w:w="8414" w:type="dxa"/>
        <w:jc w:val="center"/>
        <w:tblInd w:w="0" w:type="dxa"/>
        <w:tblLayout w:type="fixed"/>
        <w:tblCellMar>
          <w:top w:w="28" w:type="dxa"/>
          <w:left w:w="28" w:type="dxa"/>
          <w:bottom w:w="28" w:type="dxa"/>
          <w:right w:w="28" w:type="dxa"/>
        </w:tblCellMar>
      </w:tblPr>
      <w:tblGrid>
        <w:gridCol w:w="1711"/>
        <w:gridCol w:w="1503"/>
        <w:gridCol w:w="1510"/>
        <w:gridCol w:w="211"/>
        <w:gridCol w:w="631"/>
        <w:gridCol w:w="109"/>
        <w:gridCol w:w="109"/>
        <w:gridCol w:w="109"/>
        <w:gridCol w:w="109"/>
        <w:gridCol w:w="211"/>
        <w:gridCol w:w="616"/>
        <w:gridCol w:w="109"/>
        <w:gridCol w:w="109"/>
        <w:gridCol w:w="109"/>
        <w:gridCol w:w="109"/>
        <w:gridCol w:w="293"/>
        <w:gridCol w:w="293"/>
        <w:gridCol w:w="409"/>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Backlog Units: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dollar value of homes in backlog (in millions)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in backlog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Backlog reflects the number of homes for which the Company has entered into a sales contract with a customer but has not yet delivered the home.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backlog units was primarily due to beginning the fiscal quarter with fewer backlog units and year-over-year lower net new orders for the quarter ended March 31, 2026. The aggregate dollar value of homes in backlog as of March 31, 2026 decreased 9.1% compared to March 31, 2025 due to a 14.9% decrease in backlog units, partially offset by a 6.8% increase in the ASP of homes in backlog. The increase in backlog ASP compared to the prior year quarter was primarily due to changes in product and community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Homebuilding Revenue, Average Selling Price, and Closings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homebuilding revenue, ASP of our homes closed, and closings by reportable segment for the periods presented:</w:t>
      </w:r>
    </w:p>
    <w:tbl>
      <w:tblPr>
        <w:tblW w:w="11196" w:type="dxa"/>
        <w:jc w:val="center"/>
        <w:tblInd w:w="0" w:type="dxa"/>
        <w:tblLayout w:type="fixed"/>
        <w:tblCellMar>
          <w:top w:w="28" w:type="dxa"/>
          <w:left w:w="28" w:type="dxa"/>
          <w:bottom w:w="28" w:type="dxa"/>
          <w:right w:w="28" w:type="dxa"/>
        </w:tblCellMar>
      </w:tblPr>
      <w:tblGrid>
        <w:gridCol w:w="299"/>
        <w:gridCol w:w="263"/>
        <w:gridCol w:w="264"/>
        <w:gridCol w:w="196"/>
        <w:gridCol w:w="751"/>
        <w:gridCol w:w="109"/>
        <w:gridCol w:w="109"/>
        <w:gridCol w:w="109"/>
        <w:gridCol w:w="109"/>
        <w:gridCol w:w="196"/>
        <w:gridCol w:w="871"/>
        <w:gridCol w:w="109"/>
        <w:gridCol w:w="109"/>
        <w:gridCol w:w="109"/>
        <w:gridCol w:w="109"/>
        <w:gridCol w:w="240"/>
        <w:gridCol w:w="241"/>
        <w:gridCol w:w="286"/>
        <w:gridCol w:w="109"/>
        <w:gridCol w:w="109"/>
        <w:gridCol w:w="109"/>
        <w:gridCol w:w="196"/>
        <w:gridCol w:w="571"/>
        <w:gridCol w:w="109"/>
        <w:gridCol w:w="109"/>
        <w:gridCol w:w="109"/>
        <w:gridCol w:w="109"/>
        <w:gridCol w:w="196"/>
        <w:gridCol w:w="556"/>
        <w:gridCol w:w="109"/>
        <w:gridCol w:w="109"/>
        <w:gridCol w:w="109"/>
        <w:gridCol w:w="109"/>
        <w:gridCol w:w="239"/>
        <w:gridCol w:w="242"/>
        <w:gridCol w:w="286"/>
        <w:gridCol w:w="109"/>
        <w:gridCol w:w="109"/>
        <w:gridCol w:w="109"/>
        <w:gridCol w:w="285"/>
        <w:gridCol w:w="286"/>
        <w:gridCol w:w="156"/>
        <w:gridCol w:w="109"/>
        <w:gridCol w:w="109"/>
        <w:gridCol w:w="109"/>
        <w:gridCol w:w="277"/>
        <w:gridCol w:w="279"/>
        <w:gridCol w:w="156"/>
        <w:gridCol w:w="109"/>
        <w:gridCol w:w="109"/>
        <w:gridCol w:w="109"/>
        <w:gridCol w:w="240"/>
        <w:gridCol w:w="241"/>
        <w:gridCol w:w="33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Homebuilding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Selling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Closings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231,285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90,781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75,682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397,748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(29.8)</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Homebuilding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Selling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Closings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451,494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757,490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1,457</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Months Ended March 31, 2026 as compared to 2025</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Homebuilding revenue decreased by 36.7% for the three months ended March 31, 2026 compared to the prior year quarter due to a 35.1% decrease in closings and a 2.4% decrease in ASP. The decrease in closings was primarily due to lower beginning backlog, partially offset by improved construction cycle times compared to the prior year quarter.</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Homebuilding revenue decreased by 24.6% for the three months ended March 31, 2026 compared to the prior year quarter due to a 30.0% decrease</w:t>
      </w:r>
      <w:r>
        <w:rPr>
          <w:color w:val="000000"/>
          <w:shd w:fill="FFFFFF" w:val="clear"/>
        </w:rPr>
        <w:t xml:space="preserve"> </w:t>
      </w:r>
      <w:r>
        <w:rPr>
          <w:rFonts w:ascii="Times New Roman;serif" w:hAnsi="Times New Roman;serif"/>
          <w:b w:val="false"/>
          <w:color w:val="000000"/>
          <w:sz w:val="20"/>
          <w:shd w:fill="FFFFFF" w:val="clear"/>
        </w:rPr>
        <w:t>in closings, partially offset by a</w:t>
      </w:r>
      <w:r>
        <w:rPr>
          <w:color w:val="000000"/>
        </w:rPr>
        <w:t xml:space="preserve"> </w:t>
      </w:r>
      <w:r>
        <w:rPr>
          <w:rFonts w:ascii="Times New Roman;serif" w:hAnsi="Times New Roman;serif"/>
          <w:b w:val="false"/>
          <w:color w:val="000000"/>
          <w:sz w:val="20"/>
        </w:rPr>
        <w:t>7.7% increase in A</w:t>
      </w:r>
      <w:r>
        <w:rPr>
          <w:rFonts w:ascii="Times New Roman;serif" w:hAnsi="Times New Roman;serif"/>
          <w:b w:val="false"/>
          <w:color w:val="000000"/>
          <w:sz w:val="20"/>
          <w:shd w:fill="FFFFFF" w:val="clear"/>
        </w:rPr>
        <w:t>SP. The decrease in closings was primarily due to lower beginning backlog</w:t>
      </w:r>
      <w:r>
        <w:rPr>
          <w:rFonts w:ascii="Times New Roman;serif" w:hAnsi="Times New Roman;serif"/>
          <w:b w:val="false"/>
          <w:color w:val="000000"/>
          <w:sz w:val="20"/>
        </w:rPr>
        <w:t>, partially offset by improved construction cycle times compared to the prior year quarter</w:t>
      </w:r>
      <w:r>
        <w:rPr>
          <w:rFonts w:ascii="Times New Roman;serif" w:hAnsi="Times New Roman;serif"/>
          <w:b w:val="false"/>
          <w:color w:val="000000"/>
          <w:sz w:val="20"/>
          <w:shd w:fill="FFFFFF" w:val="clear"/>
        </w:rPr>
        <w:t>.</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Hom</w:t>
      </w:r>
      <w:r>
        <w:rPr>
          <w:rFonts w:ascii="Times New Roman;serif" w:hAnsi="Times New Roman;serif"/>
          <w:b w:val="false"/>
          <w:color w:val="000000"/>
          <w:sz w:val="20"/>
          <w:shd w:fill="FFFFFF" w:val="clear"/>
        </w:rPr>
        <w:t xml:space="preserve">ebuilding revenue increased by 7.4% for the three months ended March 31, 2026 compared to the prior year </w:t>
      </w:r>
      <w:r>
        <w:rPr>
          <w:rFonts w:ascii="Times New Roman;serif" w:hAnsi="Times New Roman;serif"/>
          <w:b w:val="false"/>
          <w:color w:val="000000"/>
          <w:sz w:val="20"/>
        </w:rPr>
        <w:t xml:space="preserve">quarter due to an 11.3% increase in ASP, partially offset by a 3.5% decrease in closings. The decrease in closings was primarily due to lower volume of spec homes that sold and closed within the current fiscal quarter, partially offset by higher beginning backlog and </w:t>
      </w:r>
      <w:r>
        <w:rPr>
          <w:rFonts w:ascii="Times New Roman;serif" w:hAnsi="Times New Roman;serif"/>
          <w:b w:val="false"/>
          <w:color w:val="000000"/>
          <w:sz w:val="20"/>
          <w:shd w:fill="FFFFFF" w:val="clear"/>
        </w:rPr>
        <w:t>improved construction cycle times compared to the prior year quarter.</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Six Months Ended March 31, 2026 as compared to 2025</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Homebuilding revenue decreased by 31.3% for the six months ended March 31, 2026 compared to the six months ended March 31, 2025 due to a 30.5% decrease in closings and a 1.1% decrease in ASP. The decrease in closings was primarily due to lower beginning backlog, partially offset by improved construction cycle times compared to the prior year period.</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Homebuilding revenue decreased by 19.7% for the six months ended March 31, 2026 compared to the six months ended March 31, 2025 due to a 21.6% decrease in closings, partially offset by a 2.4% increase in ASP. The decrease in closings was primarily due to lower beginning backlog, partially offset by improved construction cycle times compared to the prior year period.</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Homebuilding revenue decreased by 6.4% for the six months ended March 31, 2026 compared to the six months ended March 31, 2025 due to a 16.1% decrease in closings, partially offset by an 11.5% increase in ASP. The decrease in closings was primarily due to lower beginning backlog, partially offset by improved construction cycle times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Homebuilding Gross Profit and Gross Margin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homebuilding (HB) gross profit and gross margin by reportable segment and Corporate and unallocated. In addition, such amounts are presented excluding inventory impairments and abandonments and interest amortized to cost of sales (COS). Homebuilding gross profit is defined as homebuilding revenue less home cost of sales (which includes land and land development costs, home construction costs, capitalized interest, indirect costs of construction, estimated warranty costs, closing costs, and inventory impairment and abandonment charges).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homebuilding gross profit and homebuilding gross margin (GAAP measures) to homebuilding gross profit and the related gross margin excluding impairments and abandonments and interest amortized to cost of sales (non-GAAP measures) is provided for each period discussed below. Management believes that this information assists investors in comparing the operating characteristics of homebuilding activities by eliminating many of the differences in companies' respective level of impairments and level of debt. These non-GAAP financial measures may not be comparable to other similarly titled measures of other companies and should not be considered in isolation or as a substitute for, or superior to, financial measures prepared in accordance with GAAP.</w:t>
      </w:r>
    </w:p>
    <w:tbl>
      <w:tblPr>
        <w:tblW w:w="11715" w:type="dxa"/>
        <w:jc w:val="left"/>
        <w:tblInd w:w="0" w:type="dxa"/>
        <w:tblLayout w:type="fixed"/>
        <w:tblCellMar>
          <w:top w:w="28" w:type="dxa"/>
          <w:left w:w="28" w:type="dxa"/>
          <w:bottom w:w="28" w:type="dxa"/>
          <w:right w:w="28" w:type="dxa"/>
        </w:tblCellMar>
      </w:tblPr>
      <w:tblGrid>
        <w:gridCol w:w="423"/>
        <w:gridCol w:w="372"/>
        <w:gridCol w:w="376"/>
        <w:gridCol w:w="196"/>
        <w:gridCol w:w="661"/>
        <w:gridCol w:w="109"/>
        <w:gridCol w:w="109"/>
        <w:gridCol w:w="109"/>
        <w:gridCol w:w="109"/>
        <w:gridCol w:w="286"/>
        <w:gridCol w:w="195"/>
        <w:gridCol w:w="451"/>
        <w:gridCol w:w="109"/>
        <w:gridCol w:w="109"/>
        <w:gridCol w:w="109"/>
        <w:gridCol w:w="268"/>
        <w:gridCol w:w="782"/>
        <w:gridCol w:w="151"/>
        <w:gridCol w:w="109"/>
        <w:gridCol w:w="109"/>
        <w:gridCol w:w="109"/>
        <w:gridCol w:w="204"/>
        <w:gridCol w:w="688"/>
        <w:gridCol w:w="114"/>
        <w:gridCol w:w="109"/>
        <w:gridCol w:w="109"/>
        <w:gridCol w:w="109"/>
        <w:gridCol w:w="240"/>
        <w:gridCol w:w="241"/>
        <w:gridCol w:w="558"/>
        <w:gridCol w:w="109"/>
        <w:gridCol w:w="109"/>
        <w:gridCol w:w="109"/>
        <w:gridCol w:w="196"/>
        <w:gridCol w:w="661"/>
        <w:gridCol w:w="109"/>
        <w:gridCol w:w="109"/>
        <w:gridCol w:w="109"/>
        <w:gridCol w:w="109"/>
        <w:gridCol w:w="196"/>
        <w:gridCol w:w="736"/>
        <w:gridCol w:w="109"/>
        <w:gridCol w:w="109"/>
        <w:gridCol w:w="109"/>
        <w:gridCol w:w="109"/>
        <w:gridCol w:w="267"/>
        <w:gridCol w:w="214"/>
        <w:gridCol w:w="623"/>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Impairments &amp;</w:t>
              <w:br/>
              <w:t>Abandonments</w:t>
              <w:br/>
              <w:t>(I&amp;A)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Amortized  to</w:t>
              <w:br/>
              <w:t>COS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Profit</w:t>
              <w:br/>
              <w:t>excluding</w:t>
              <w:br/>
              <w:t>I&amp;A and</w:t>
              <w:br/>
              <w:t>Interest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Margin</w:t>
              <w:br/>
              <w:t>excluding</w:t>
              <w:br/>
              <w:t>I&amp;A and</w:t>
              <w:br/>
              <w:t>Interest (Non-GAAP)</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32,540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w:t>
            </w: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33,714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33,714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East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13,250</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13,250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12,914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w:t>
            </w: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w:t>
            </w: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color w:val="000000"/>
                <w:sz w:val="16"/>
              </w:rPr>
              <w:t>Corporate &amp; unallocated</w:t>
            </w:r>
            <w:r>
              <w:rPr>
                <w:rFonts w:ascii="Times New Roman;serif" w:hAnsi="Times New Roman;serif"/>
                <w:b/>
                <w:color w:val="000000"/>
                <w:sz w:val="10"/>
                <w:shd w:fill="FFFFFF" w:val="clear"/>
              </w:rPr>
              <w:t>(a)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(11,065)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(10,944)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homebuilding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48,934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w:t>
            </w: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62,021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w:t>
            </w: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4"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2025</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Impairments &amp;</w:t>
              <w:br/>
              <w:t>Abandonments</w:t>
              <w:br/>
              <w:t>(I&amp;A)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Amortized  to</w:t>
              <w:br/>
              <w:t>COS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Profit</w:t>
              <w:br/>
              <w:t>excluding</w:t>
              <w:br/>
              <w:t>I&amp;A and</w:t>
              <w:br/>
              <w:t>Interest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Margin</w:t>
              <w:br/>
              <w:t>excluding</w:t>
              <w:br/>
              <w:t>I&amp;A and</w:t>
              <w:br/>
              <w:t>Interest (Non-GAAP)</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6"/>
              </w:rPr>
              <w:t>Corporate &amp; unallocated</w:t>
            </w:r>
            <w:r>
              <w:rPr>
                <w:rFonts w:ascii="Times New Roman;serif" w:hAnsi="Times New Roman;serif"/>
                <w:b w:val="false"/>
                <w:color w:val="000000"/>
                <w:sz w:val="10"/>
                <w:shd w:fill="FFFFFF" w:val="clear"/>
              </w:rPr>
              <w:t>(a)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homebuilding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84,660 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tbl>
      <w:tblPr>
        <w:tblW w:w="11706" w:type="dxa"/>
        <w:jc w:val="left"/>
        <w:tblInd w:w="0" w:type="dxa"/>
        <w:tblLayout w:type="fixed"/>
        <w:tblCellMar>
          <w:top w:w="28" w:type="dxa"/>
          <w:left w:w="28" w:type="dxa"/>
          <w:bottom w:w="28" w:type="dxa"/>
          <w:right w:w="28" w:type="dxa"/>
        </w:tblCellMar>
      </w:tblPr>
      <w:tblGrid>
        <w:gridCol w:w="413"/>
        <w:gridCol w:w="363"/>
        <w:gridCol w:w="365"/>
        <w:gridCol w:w="196"/>
        <w:gridCol w:w="736"/>
        <w:gridCol w:w="109"/>
        <w:gridCol w:w="109"/>
        <w:gridCol w:w="109"/>
        <w:gridCol w:w="109"/>
        <w:gridCol w:w="273"/>
        <w:gridCol w:w="208"/>
        <w:gridCol w:w="426"/>
        <w:gridCol w:w="109"/>
        <w:gridCol w:w="109"/>
        <w:gridCol w:w="109"/>
        <w:gridCol w:w="258"/>
        <w:gridCol w:w="753"/>
        <w:gridCol w:w="145"/>
        <w:gridCol w:w="109"/>
        <w:gridCol w:w="109"/>
        <w:gridCol w:w="109"/>
        <w:gridCol w:w="196"/>
        <w:gridCol w:w="736"/>
        <w:gridCol w:w="109"/>
        <w:gridCol w:w="109"/>
        <w:gridCol w:w="109"/>
        <w:gridCol w:w="109"/>
        <w:gridCol w:w="240"/>
        <w:gridCol w:w="241"/>
        <w:gridCol w:w="542"/>
        <w:gridCol w:w="109"/>
        <w:gridCol w:w="109"/>
        <w:gridCol w:w="109"/>
        <w:gridCol w:w="196"/>
        <w:gridCol w:w="661"/>
        <w:gridCol w:w="109"/>
        <w:gridCol w:w="109"/>
        <w:gridCol w:w="109"/>
        <w:gridCol w:w="109"/>
        <w:gridCol w:w="196"/>
        <w:gridCol w:w="751"/>
        <w:gridCol w:w="109"/>
        <w:gridCol w:w="109"/>
        <w:gridCol w:w="109"/>
        <w:gridCol w:w="109"/>
        <w:gridCol w:w="273"/>
        <w:gridCol w:w="208"/>
        <w:gridCol w:w="60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 2026</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 &amp;</w:t>
              <w:br/>
              <w:t>Abandonments</w:t>
              <w:br/>
              <w:t>(I&amp;A)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w:t>
              <w:br/>
              <w:t>Amortized  to</w:t>
              <w:br/>
              <w:t>COS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Profit</w:t>
              <w:br/>
              <w:t>excluding</w:t>
              <w:br/>
              <w:t>I&amp;A and</w:t>
              <w:br/>
              <w:t>Interest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Margin</w:t>
              <w:br/>
              <w:t>excluding</w:t>
              <w:br/>
              <w:t>I&amp;A and</w:t>
              <w:br/>
              <w:t>Interest (Non-GAAP)</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w:t>
            </w:r>
            <w:r>
              <w:rPr>
                <w:color w:val="000000"/>
              </w:rPr>
              <w:t>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2,478</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64,354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w:t>
            </w:r>
            <w:r>
              <w:rPr>
                <w:color w:val="000000"/>
              </w:rPr>
              <w:t>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64,354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w:t>
            </w:r>
            <w:r>
              <w:rPr>
                <w:color w:val="000000"/>
              </w:rPr>
              <w:t>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26,952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w:t>
            </w: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26,973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w:t>
            </w: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26,973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w:t>
            </w: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Southeast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w:t>
            </w: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w:t>
            </w: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w:t>
            </w: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Corporate &amp; unallocated </w:t>
            </w:r>
            <w:r>
              <w:rPr>
                <w:rFonts w:ascii="Times New Roman;serif" w:hAnsi="Times New Roman;serif"/>
                <w:b/>
                <w:color w:val="000000"/>
                <w:sz w:val="10"/>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homebuilding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85,055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w:t>
            </w: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2,620</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87,675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w:t>
            </w: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112,516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w:t>
            </w: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5"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March 31, 2025</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 (GAAP)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 (GAAP)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 &amp;</w:t>
              <w:br/>
              <w:t>Abandonments</w:t>
              <w:br/>
              <w:t>(I&amp;A)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w:t>
              <w:br/>
              <w:t>excluding</w:t>
              <w:br/>
              <w:t xml:space="preserve">I&amp;A </w:t>
              <w:br/>
              <w:t>(Non-GAAP)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w:t>
              <w:br/>
              <w:t>excluding</w:t>
              <w:br/>
              <w:t xml:space="preserve">I&amp;A </w:t>
              <w:br/>
              <w:t>(Non-GAAP)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w:t>
              <w:br/>
              <w:t>Amortized  to</w:t>
              <w:br/>
              <w:t>COS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Profit</w:t>
              <w:br/>
              <w:t>excluding</w:t>
              <w:br/>
              <w:t>I&amp;A and</w:t>
              <w:br/>
              <w:t>Interest (Non-GAAP)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Margin</w:t>
              <w:br/>
              <w:t>excluding</w:t>
              <w:br/>
              <w:t>I&amp;A and</w:t>
              <w:br/>
              <w:t>Interest (Non-GAAP)</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Southeast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Corporate &amp; unallocated</w:t>
            </w:r>
            <w:r>
              <w:rPr>
                <w:color w:val="000000"/>
              </w:rPr>
              <w:t xml:space="preserve"> </w:t>
            </w:r>
            <w:r>
              <w:rPr>
                <w:rFonts w:ascii="Times New Roman;serif" w:hAnsi="Times New Roman;serif"/>
                <w:b w:val="false"/>
                <w:color w:val="000000"/>
                <w:sz w:val="10"/>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homebuilding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20"/>
          <w:shd w:fill="FFFFFF" w:val="clear"/>
        </w:rPr>
        <w:t>Corporate and unallocated includes amortization of capitalized interest, capitalization and amortization of indirect costs related to homebuilding activities, as well as capitalized interest and capitalized indirect costs impaired in order to reflect projects in progress assets at fair value, when applicable. For the six</w:t>
      </w:r>
      <w:r>
        <w:rPr>
          <w:color w:val="000000"/>
        </w:rPr>
        <w:t xml:space="preserve"> </w:t>
      </w:r>
      <w:r>
        <w:rPr>
          <w:rFonts w:ascii="Times New Roman;serif" w:hAnsi="Times New Roman;serif"/>
          <w:b w:val="false"/>
          <w:color w:val="000000"/>
          <w:sz w:val="20"/>
        </w:rPr>
        <w:t xml:space="preserve">months ended March 31, 2026, Corporate and unallocated also included a </w:t>
      </w:r>
      <w:r>
        <w:rPr>
          <w:rFonts w:ascii="Times New Roman;serif" w:hAnsi="Times New Roman;serif"/>
          <w:b w:val="false"/>
          <w:color w:val="000000"/>
          <w:sz w:val="20"/>
          <w:shd w:fill="FFFFFF" w:val="clear"/>
        </w:rPr>
        <w:t xml:space="preserve">litigation-related charge that reduced total homebuilding gross margin, excluding impairments, abandonments, and interest, by </w:t>
      </w:r>
      <w:r>
        <w:rPr>
          <w:rFonts w:ascii="Times New Roman;serif" w:hAnsi="Times New Roman;serif"/>
          <w:b w:val="false"/>
          <w:color w:val="000000"/>
          <w:sz w:val="20"/>
        </w:rPr>
        <w:t>0.8%</w:t>
      </w:r>
      <w:r>
        <w:rPr>
          <w:rFonts w:ascii="Times New Roman;serif" w:hAnsi="Times New Roman;serif"/>
          <w:b w:val="false"/>
          <w:color w:val="000000"/>
          <w:sz w:val="20"/>
          <w:shd w:fill="FFFFFF" w:val="clear"/>
        </w:rPr>
        <w:t xml:space="preserve">. </w:t>
      </w:r>
    </w:p>
    <w:p>
      <w:pPr>
        <w:pStyle w:val="TextBody"/>
        <w:bidi w:val="0"/>
        <w:spacing w:lineRule="auto" w:line="288" w:before="180" w:after="283"/>
        <w:jc w:val="both"/>
        <w:rPr/>
      </w:pPr>
      <w:r>
        <w:rPr>
          <w:rFonts w:ascii="Times New Roman;serif" w:hAnsi="Times New Roman;serif"/>
          <w:b/>
          <w:i/>
          <w:color w:val="000000"/>
          <w:sz w:val="20"/>
          <w:shd w:fill="FFFFFF" w:val="clear"/>
        </w:rPr>
        <w:t xml:space="preserve">Three Months Ended March 31, 2026 as compared to </w:t>
      </w:r>
      <w:r>
        <w:rPr>
          <w:rFonts w:ascii="Times New Roman;serif" w:hAnsi="Times New Roman;serif"/>
          <w:b/>
          <w:i/>
          <w:color w:val="000000"/>
          <w:sz w:val="20"/>
        </w:rPr>
        <w:t>2025</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Our homebuilding gross profit decreased by $36.5 million to $47.6 million for the three months ended March 31, 2026, compared to $84.1 million in the prior year quarter. The decrease in homebuilding gross profit compared to the prior year quarter was primarily due to a decrease in homebuilding revenue of $158.3 million and a decrease in gross margin of 310 basis points to 12.0%. As shown in the tables above, the comparability of our gross profit and gross margin was impacted by impairment and abandonment charges, which </w:t>
      </w:r>
      <w:r>
        <w:rPr>
          <w:rFonts w:ascii="Times New Roman;serif" w:hAnsi="Times New Roman;serif"/>
          <w:b w:val="false"/>
          <w:color w:val="000000"/>
          <w:sz w:val="20"/>
        </w:rPr>
        <w:t>increase</w:t>
      </w:r>
      <w:r>
        <w:rPr>
          <w:rFonts w:ascii="Times New Roman;serif" w:hAnsi="Times New Roman;serif"/>
          <w:b w:val="false"/>
          <w:color w:val="000000"/>
          <w:sz w:val="20"/>
          <w:shd w:fill="FFFFFF" w:val="clear"/>
        </w:rPr>
        <w:t>d by $0.8 million, and interest amortized to homebuilding cost of sales, which decreased by $4.1 million compared to the prior year quarter (refer to Note 4 and Note 5 to the condensed consolidated financial statements in this Form 10-Q for additional details). When excluding the impact of impairment and abandonment charges and interest amortized to homebuilding cost of sales, homebuilding gross</w:t>
      </w:r>
      <w:r>
        <w:rPr>
          <w:color w:val="000000"/>
        </w:rPr>
        <w:t xml:space="preserve"> </w:t>
      </w:r>
      <w:r>
        <w:rPr>
          <w:rFonts w:ascii="Times New Roman;serif" w:hAnsi="Times New Roman;serif"/>
          <w:b w:val="false"/>
          <w:color w:val="000000"/>
          <w:sz w:val="20"/>
        </w:rPr>
        <w:t>profit decreased by $39.9 million compared to the prior year quarter, while homebuilding gross margin decreased by 270 basis points to 15.6%. The decrease in gross margin for the three months ended March 31, 2026 compared to the prior year quarter was due to an increase in price concessions and closing cost incentives, and changes in product and community mix.</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Compared to the prior year quarter, homebuilding gross profit decreased by $36.7 million due to a decrease in homebuilding revenue and lower gross margin. Homebuilding gross margin, excluding impairments and abandonments, decreased to 14.6%, down from 19.1% in the prior year quarter, primarily due to an increase in price concessions and closing cost incentives, and changes in product and community mix.</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 xml:space="preserve">Compared to the prior year quarter, homebuilding gross profit decreased by $4.4 million due to a decrease in homebuilding revenue. Homebuilding gross margin, excluding impairments and abandonments, remained relatively flat at 14.6% compared to 14.7% in the prior year quarter, as reductions in direct construction costs largely offset increases in price concessions and land costs. </w:t>
      </w:r>
    </w:p>
    <w:p>
      <w:pPr>
        <w:pStyle w:val="TextBody"/>
        <w:bidi w:val="0"/>
        <w:spacing w:lineRule="auto" w:line="288" w:before="180" w:after="283"/>
        <w:jc w:val="both"/>
        <w:rPr/>
      </w:pPr>
      <w:r>
        <w:rPr>
          <w:rFonts w:ascii="Times New Roman;serif" w:hAnsi="Times New Roman;serif"/>
          <w:b w:val="false"/>
          <w:i/>
          <w:color w:val="000000"/>
          <w:sz w:val="20"/>
          <w:shd w:fill="FFFFFF" w:val="clear"/>
        </w:rPr>
        <w:t>Southeast Segment:</w:t>
      </w:r>
      <w:r>
        <w:rPr>
          <w:color w:val="000000"/>
          <w:shd w:fill="FFFFFF" w:val="clear"/>
        </w:rPr>
        <w:t xml:space="preserve"> </w:t>
      </w:r>
      <w:r>
        <w:rPr>
          <w:rFonts w:ascii="Times New Roman;serif" w:hAnsi="Times New Roman;serif"/>
          <w:b w:val="false"/>
          <w:color w:val="000000"/>
          <w:sz w:val="20"/>
          <w:shd w:fill="FFFFFF" w:val="clear"/>
        </w:rPr>
        <w:t>Compared to the prior year quarter, hom</w:t>
      </w:r>
      <w:r>
        <w:rPr>
          <w:rFonts w:ascii="Times New Roman;serif" w:hAnsi="Times New Roman;serif"/>
          <w:b w:val="false"/>
          <w:color w:val="000000"/>
          <w:sz w:val="20"/>
        </w:rPr>
        <w:t>ebuilding gross profit increased by $1.4 million due to an increase in homebuilding revenue and higher gross margin. Homebuilding gross margin, excluding impairments and abandonments, increased to 17.1%, up from 16.3% in the prior year quarter, primarily due to a decrease in price concessions and reductions in direct construction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pPr>
      <w:r>
        <w:rPr>
          <w:rFonts w:ascii="Times New Roman;serif" w:hAnsi="Times New Roman;serif"/>
          <w:b/>
          <w:i/>
          <w:color w:val="000000"/>
          <w:sz w:val="20"/>
          <w:shd w:fill="FFFFFF" w:val="clear"/>
        </w:rPr>
        <w:t>Six Months Ended March 31, 2026</w:t>
      </w:r>
      <w:r>
        <w:rPr>
          <w:color w:val="000000"/>
        </w:rPr>
        <w:t xml:space="preserve"> </w:t>
      </w:r>
      <w:r>
        <w:rPr>
          <w:rFonts w:ascii="Times New Roman;serif" w:hAnsi="Times New Roman;serif"/>
          <w:b/>
          <w:i/>
          <w:color w:val="000000"/>
          <w:sz w:val="20"/>
          <w:shd w:fill="FFFFFF" w:val="clear"/>
        </w:rPr>
        <w:t xml:space="preserve">as compared to </w:t>
      </w:r>
      <w:r>
        <w:rPr>
          <w:rFonts w:ascii="Times New Roman;serif" w:hAnsi="Times New Roman;serif"/>
          <w:b/>
          <w:i/>
          <w:color w:val="000000"/>
          <w:sz w:val="20"/>
        </w:rPr>
        <w:t>2025</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Our homebuilding gross profit decreased by $69.1 million to $85.1 million for the six months ended March 31, 2026, from $154.1 million in the prior year period. The decrease in homebuilding gross profit was primarily due to a decrease in homebuilding revenue of $259.0 million and a decrease in gross margin of 400 basis points to 11.2%. Similar to the three-month period discussed above, the comparability of our gross profit and gross margin for the six-month period was impacted by impairment and abandonment charges, which increased by $2.1 million, and interest amortized to homebuilding cost of sales, which decreased by $6.3 million year-over-year (refer to Note 4 and Note 5 to the condensed consolidated financial statements in this Form 10-Q for additional details). When excluding the impact of impairment and abandonment charges and interest amortized to homebuilding cost of sales, homebuilding gross profit decreased by $73.3 million compared to the prior year period, while homebuilding gross margin decreased by 340 </w:t>
      </w:r>
      <w:r>
        <w:rPr>
          <w:rFonts w:ascii="Times New Roman;serif" w:hAnsi="Times New Roman;serif"/>
          <w:b w:val="false"/>
          <w:color w:val="000000"/>
          <w:sz w:val="20"/>
        </w:rPr>
        <w:t xml:space="preserve">basis points to 14.9%. The decrease in gross margin for the six months ended March 31, 2026 compared to the prior year period was primarily due to an increase in price concessions and closing cost incentives, changes in product and community mix, and a litigation-related charge recognized in Corporate and unallocated during the quarter ended December 31, 2025 (refer to Note 8 of the notes to the condensed consolidated financial statements included in this Form 10-Q for further discussion). The litigation-related charge reduced homebuilding gross margin, excluding impairments, abandonments, and interest, by 0.8%. </w:t>
      </w:r>
    </w:p>
    <w:p>
      <w:pPr>
        <w:pStyle w:val="TextBody"/>
        <w:bidi w:val="0"/>
        <w:spacing w:lineRule="auto" w:line="288" w:before="180" w:after="283"/>
        <w:jc w:val="both"/>
        <w:rPr/>
      </w:pPr>
      <w:r>
        <w:rPr>
          <w:rFonts w:ascii="Times New Roman;serif" w:hAnsi="Times New Roman;serif"/>
          <w:b w:val="false"/>
          <w:i/>
          <w:color w:val="000000"/>
          <w:sz w:val="20"/>
          <w:shd w:fill="FFFFFF" w:val="clear"/>
        </w:rPr>
        <w:t>West Segm</w:t>
      </w:r>
      <w:r>
        <w:rPr>
          <w:rFonts w:ascii="Times New Roman;serif" w:hAnsi="Times New Roman;serif"/>
          <w:b w:val="false"/>
          <w:i/>
          <w:color w:val="000000"/>
          <w:sz w:val="20"/>
        </w:rPr>
        <w:t xml:space="preserve">ent: </w:t>
      </w:r>
      <w:r>
        <w:rPr>
          <w:rFonts w:ascii="Times New Roman;serif" w:hAnsi="Times New Roman;serif"/>
          <w:b w:val="false"/>
          <w:color w:val="000000"/>
          <w:sz w:val="20"/>
        </w:rPr>
        <w:t>Compared to the prior year period, homebuilding gross profit decreased by $60.6 million due to a decrease in homebuilding revenue and lower gross margin. Homebuilding gross margin, excluding impairments and abandonments, decreased to 14.3%, down from 18.7% in the prior year period, primarily due to an increase in price concessions and closing cost incentives and changes in product and community mix.</w:t>
      </w:r>
    </w:p>
    <w:p>
      <w:pPr>
        <w:pStyle w:val="TextBody"/>
        <w:bidi w:val="0"/>
        <w:spacing w:lineRule="auto" w:line="288" w:before="180" w:after="283"/>
        <w:jc w:val="both"/>
        <w:rPr/>
      </w:pPr>
      <w:r>
        <w:rPr>
          <w:rFonts w:ascii="Times New Roman;serif" w:hAnsi="Times New Roman;serif"/>
          <w:b w:val="false"/>
          <w:i/>
          <w:color w:val="000000"/>
          <w:sz w:val="20"/>
          <w:shd w:fill="FFFFFF" w:val="clear"/>
        </w:rPr>
        <w:t>East Segment:</w:t>
      </w:r>
      <w:r>
        <w:rPr>
          <w:color w:val="000000"/>
          <w:shd w:fill="FFFFFF" w:val="clear"/>
        </w:rPr>
        <w:t xml:space="preserve"> </w:t>
      </w:r>
      <w:r>
        <w:rPr>
          <w:rFonts w:ascii="Times New Roman;serif" w:hAnsi="Times New Roman;serif"/>
          <w:b w:val="false"/>
          <w:color w:val="000000"/>
          <w:sz w:val="20"/>
          <w:shd w:fill="FFFFFF" w:val="clear"/>
        </w:rPr>
        <w:t>Compared to the pr</w:t>
      </w:r>
      <w:r>
        <w:rPr>
          <w:rFonts w:ascii="Times New Roman;serif" w:hAnsi="Times New Roman;serif"/>
          <w:b w:val="false"/>
          <w:color w:val="000000"/>
          <w:sz w:val="20"/>
        </w:rPr>
        <w:t>ior year period, homebuilding gross profit decreased by $7.1 million due to a decrease in homebuilding revenue. Homebuilding gross margin, excluding impairments and abandonments, remained relatively flat at 14.7% compared to 14.9% in the prior year period, as reductions in direct construction costs largely offset increases in price concessions and land costs.</w:t>
      </w:r>
    </w:p>
    <w:p>
      <w:pPr>
        <w:pStyle w:val="TextBody"/>
        <w:bidi w:val="0"/>
        <w:spacing w:lineRule="auto" w:line="288" w:before="180" w:after="283"/>
        <w:jc w:val="both"/>
        <w:rPr/>
      </w:pPr>
      <w:r>
        <w:rPr>
          <w:rFonts w:ascii="Times New Roman;serif" w:hAnsi="Times New Roman;serif"/>
          <w:b w:val="false"/>
          <w:i/>
          <w:color w:val="000000"/>
          <w:sz w:val="20"/>
          <w:shd w:fill="FFFFFF" w:val="clear"/>
        </w:rPr>
        <w:t>Southeast Segment:</w:t>
      </w:r>
      <w:r>
        <w:rPr>
          <w:color w:val="000000"/>
          <w:shd w:fill="FFFFFF" w:val="clear"/>
        </w:rPr>
        <w:t xml:space="preserve"> </w:t>
      </w:r>
      <w:r>
        <w:rPr>
          <w:rFonts w:ascii="Times New Roman;serif" w:hAnsi="Times New Roman;serif"/>
          <w:b w:val="false"/>
          <w:color w:val="000000"/>
          <w:sz w:val="20"/>
          <w:shd w:fill="FFFFFF" w:val="clear"/>
        </w:rPr>
        <w:t>Compared to the prior year period, homebuilding gross profit decreased by $1.5 million due to a decrease in homeb</w:t>
      </w:r>
      <w:r>
        <w:rPr>
          <w:rFonts w:ascii="Times New Roman;serif" w:hAnsi="Times New Roman;serif"/>
          <w:b w:val="false"/>
          <w:color w:val="000000"/>
          <w:sz w:val="20"/>
        </w:rPr>
        <w:t>uilding revenue. H</w:t>
      </w:r>
      <w:r>
        <w:rPr>
          <w:rFonts w:ascii="Times New Roman;serif" w:hAnsi="Times New Roman;serif"/>
          <w:b w:val="false"/>
          <w:color w:val="000000"/>
          <w:sz w:val="20"/>
          <w:shd w:fill="FFFFFF" w:val="clear"/>
        </w:rPr>
        <w:t xml:space="preserve">omebuilding gross margin, excluding impairments and abandonments, </w:t>
      </w:r>
      <w:r>
        <w:rPr>
          <w:rFonts w:ascii="Times New Roman;serif" w:hAnsi="Times New Roman;serif"/>
          <w:b w:val="false"/>
          <w:color w:val="000000"/>
          <w:sz w:val="20"/>
        </w:rPr>
        <w:t>remained relatively flat at</w:t>
      </w:r>
      <w:r>
        <w:rPr>
          <w:color w:val="000000"/>
          <w:shd w:fill="FFFFFF" w:val="clear"/>
        </w:rPr>
        <w:t xml:space="preserve"> </w:t>
      </w:r>
      <w:r>
        <w:rPr>
          <w:rFonts w:ascii="Times New Roman;serif" w:hAnsi="Times New Roman;serif"/>
          <w:b w:val="false"/>
          <w:color w:val="000000"/>
          <w:sz w:val="20"/>
          <w:shd w:fill="FFFFFF" w:val="clear"/>
        </w:rPr>
        <w:t>16.1% compared to 16.2% in the prior year period,</w:t>
      </w:r>
      <w:r>
        <w:rPr>
          <w:color w:val="000000"/>
        </w:rPr>
        <w:t xml:space="preserve"> </w:t>
      </w:r>
      <w:r>
        <w:rPr>
          <w:rFonts w:ascii="Times New Roman;serif" w:hAnsi="Times New Roman;serif"/>
          <w:b w:val="false"/>
          <w:color w:val="000000"/>
          <w:sz w:val="20"/>
        </w:rPr>
        <w:t>as reductions in direct construction costs largely offset increases in price concessions and land costs.</w:t>
      </w:r>
    </w:p>
    <w:p>
      <w:pPr>
        <w:pStyle w:val="TextBody"/>
        <w:bidi w:val="0"/>
        <w:spacing w:lineRule="auto" w:line="288" w:before="180" w:after="283"/>
        <w:jc w:val="both"/>
        <w:rPr/>
      </w:pPr>
      <w:r>
        <w:rPr>
          <w:rFonts w:ascii="Times New Roman;serif" w:hAnsi="Times New Roman;serif"/>
          <w:b w:val="false"/>
          <w:color w:val="000000"/>
          <w:sz w:val="20"/>
        </w:rPr>
        <w:t xml:space="preserve">Measures of homebuilding gross profit and gross margin after excluding inventory impairments and abandonments, interest </w:t>
      </w:r>
      <w:r>
        <w:rPr>
          <w:rFonts w:ascii="Times New Roman;serif" w:hAnsi="Times New Roman;serif"/>
          <w:b w:val="false"/>
          <w:color w:val="000000"/>
          <w:sz w:val="20"/>
          <w:shd w:fill="FFFFFF" w:val="clear"/>
        </w:rPr>
        <w:t>amortized to cost of sales, and other non-recurring items are non-GAAP financial measures. These measures should not be considered alternatives to homebuilding gross profit and gross margin determined in accordance with GAAP as an indicator of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Land Sales and Other Revenue and Gross Profit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Land sales relate to land and lots sold that do not fit within our homebuilding programs or strategic plans. We also have other revenue related to title examinations provided for our homebuyers in certain markets. The following tables summarize our land sales and other revenue and related gross profit by reportable segment and Corporate and unallocated for the periods presented:</w:t>
      </w:r>
    </w:p>
    <w:tbl>
      <w:tblPr>
        <w:tblW w:w="9665" w:type="dxa"/>
        <w:jc w:val="center"/>
        <w:tblInd w:w="0" w:type="dxa"/>
        <w:tblLayout w:type="fixed"/>
        <w:tblCellMar>
          <w:top w:w="28" w:type="dxa"/>
          <w:left w:w="28" w:type="dxa"/>
          <w:bottom w:w="28" w:type="dxa"/>
          <w:right w:w="28" w:type="dxa"/>
        </w:tblCellMar>
      </w:tblPr>
      <w:tblGrid>
        <w:gridCol w:w="976"/>
        <w:gridCol w:w="773"/>
        <w:gridCol w:w="710"/>
        <w:gridCol w:w="196"/>
        <w:gridCol w:w="661"/>
        <w:gridCol w:w="109"/>
        <w:gridCol w:w="109"/>
        <w:gridCol w:w="109"/>
        <w:gridCol w:w="109"/>
        <w:gridCol w:w="196"/>
        <w:gridCol w:w="646"/>
        <w:gridCol w:w="109"/>
        <w:gridCol w:w="109"/>
        <w:gridCol w:w="109"/>
        <w:gridCol w:w="109"/>
        <w:gridCol w:w="196"/>
        <w:gridCol w:w="631"/>
        <w:gridCol w:w="109"/>
        <w:gridCol w:w="109"/>
        <w:gridCol w:w="109"/>
        <w:gridCol w:w="109"/>
        <w:gridCol w:w="196"/>
        <w:gridCol w:w="571"/>
        <w:gridCol w:w="109"/>
        <w:gridCol w:w="109"/>
        <w:gridCol w:w="109"/>
        <w:gridCol w:w="109"/>
        <w:gridCol w:w="196"/>
        <w:gridCol w:w="556"/>
        <w:gridCol w:w="109"/>
        <w:gridCol w:w="109"/>
        <w:gridCol w:w="109"/>
        <w:gridCol w:w="109"/>
        <w:gridCol w:w="196"/>
        <w:gridCol w:w="63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Gross Profit</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East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 xml:space="preserve">(a)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Gross Profit</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 xml:space="preserve">(a)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20"/>
          <w:shd w:fill="FFFFFF" w:val="clear"/>
        </w:rPr>
        <w:t>Corporate and unallocated includes capitalized interest and capitalized indirect costs expensed to land cost of sales related to land and lots sold, as well as capitalized interest and capitalized indirect costs impaired in order to reflect land held for sale assets at fair value less cost to sell.</w:t>
      </w:r>
    </w:p>
    <w:p>
      <w:pPr>
        <w:pStyle w:val="TextBody"/>
        <w:bidi w:val="0"/>
        <w:spacing w:lineRule="auto" w:line="288" w:before="180" w:after="283"/>
        <w:jc w:val="both"/>
        <w:rPr/>
      </w:pPr>
      <w:r>
        <w:rPr>
          <w:rFonts w:ascii="Times New Roman;serif" w:hAnsi="Times New Roman;serif"/>
          <w:b w:val="false"/>
          <w:color w:val="000000"/>
          <w:sz w:val="20"/>
        </w:rPr>
        <w:t xml:space="preserve">For the three months ended March 31, 2026, land sales and other revenue increased by $2.8 million to $12.1 million, and land sales and other gross profit decreased by $0.8 million to $1.1 million compared to the prior year quarter. </w:t>
      </w:r>
      <w:r>
        <w:rPr>
          <w:rFonts w:ascii="Times New Roman;serif" w:hAnsi="Times New Roman;serif"/>
          <w:b w:val="false"/>
          <w:color w:val="000000"/>
          <w:sz w:val="20"/>
          <w:shd w:fill="FFFFFF" w:val="clear"/>
        </w:rPr>
        <w:t>F</w:t>
      </w:r>
      <w:r>
        <w:rPr>
          <w:rFonts w:ascii="Times New Roman;serif" w:hAnsi="Times New Roman;serif"/>
          <w:b w:val="false"/>
          <w:color w:val="000000"/>
          <w:sz w:val="20"/>
        </w:rPr>
        <w:t>or the</w:t>
      </w:r>
      <w:r>
        <w:rPr>
          <w:color w:val="000000"/>
          <w:shd w:fill="FFFFFF" w:val="clear"/>
        </w:rPr>
        <w:t xml:space="preserv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March 31, 2026, l</w:t>
      </w:r>
      <w:r>
        <w:rPr>
          <w:rFonts w:ascii="Times New Roman;serif" w:hAnsi="Times New Roman;serif"/>
          <w:b w:val="false"/>
          <w:color w:val="000000"/>
          <w:sz w:val="20"/>
        </w:rPr>
        <w:t xml:space="preserve">and sales and other revenue decreased by $2.0 million to $15.8 million, and land sales and other gross profit decreased by $3.1 million to $0.8 million </w:t>
      </w:r>
      <w:r>
        <w:rPr>
          <w:rFonts w:ascii="Times New Roman;serif" w:hAnsi="Times New Roman;serif"/>
          <w:b w:val="false"/>
          <w:color w:val="000000"/>
          <w:sz w:val="20"/>
          <w:shd w:fill="FFFFFF" w:val="clear"/>
        </w:rPr>
        <w:t>compared to the prior year period. Also, d</w:t>
      </w:r>
      <w:r>
        <w:rPr>
          <w:rFonts w:ascii="Times New Roman;serif" w:hAnsi="Times New Roman;serif"/>
          <w:b w:val="false"/>
          <w:color w:val="000000"/>
          <w:sz w:val="20"/>
        </w:rPr>
        <w:t>uring the six months ended March 31, 2026, we recognized $1.0 million in land held for sale impairment charges related to two held for sale communities in our West and East segments.</w:t>
      </w:r>
    </w:p>
    <w:p>
      <w:pPr>
        <w:pStyle w:val="TextBody"/>
        <w:bidi w:val="0"/>
        <w:spacing w:lineRule="auto" w:line="288" w:before="180" w:after="283"/>
        <w:jc w:val="both"/>
        <w:rPr/>
      </w:pPr>
      <w:r>
        <w:rPr>
          <w:rFonts w:ascii="Times New Roman;serif" w:hAnsi="Times New Roman;serif"/>
          <w:b w:val="false"/>
          <w:color w:val="000000"/>
          <w:sz w:val="20"/>
        </w:rPr>
        <w:t xml:space="preserve">Period-over-period fluctuations on land sales and other revenue are primarily driven by the timing and volume of land and lot sales closings. As we continue to </w:t>
      </w:r>
      <w:r>
        <w:rPr>
          <w:rFonts w:ascii="Times New Roman;serif" w:hAnsi="Times New Roman;serif"/>
          <w:b w:val="false"/>
          <w:color w:val="000000"/>
          <w:sz w:val="20"/>
          <w:shd w:fill="FFFFFF" w:val="clear"/>
        </w:rPr>
        <w:t xml:space="preserve">proactively manage our land position and divest land assets that no longer align with our strategic priorities, the dollar value of land sales and other revenue may grow. </w:t>
      </w:r>
      <w:r>
        <w:rPr>
          <w:rFonts w:ascii="Times New Roman;serif" w:hAnsi="Times New Roman;serif"/>
          <w:b w:val="false"/>
          <w:color w:val="000000"/>
          <w:sz w:val="20"/>
        </w:rPr>
        <w:t>Land sales and other gross profit are primarily impacted by the profitability of individual land and lot sale transactions as well as the volume of our title examinations operations. Future land and lot sales will depend on a variety of factors, including local market conditions, individual community performance, and changing strategic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operating income by reportable segment and Corporate and unallocated for the periods presented:</w:t>
      </w:r>
    </w:p>
    <w:tbl>
      <w:tblPr>
        <w:tblW w:w="10205" w:type="dxa"/>
        <w:jc w:val="left"/>
        <w:tblInd w:w="0" w:type="dxa"/>
        <w:tblLayout w:type="fixed"/>
        <w:tblCellMar>
          <w:top w:w="28" w:type="dxa"/>
          <w:left w:w="28" w:type="dxa"/>
          <w:bottom w:w="28" w:type="dxa"/>
          <w:right w:w="28" w:type="dxa"/>
        </w:tblCellMar>
      </w:tblPr>
      <w:tblGrid>
        <w:gridCol w:w="813"/>
        <w:gridCol w:w="644"/>
        <w:gridCol w:w="591"/>
        <w:gridCol w:w="211"/>
        <w:gridCol w:w="778"/>
        <w:gridCol w:w="109"/>
        <w:gridCol w:w="109"/>
        <w:gridCol w:w="109"/>
        <w:gridCol w:w="109"/>
        <w:gridCol w:w="211"/>
        <w:gridCol w:w="721"/>
        <w:gridCol w:w="109"/>
        <w:gridCol w:w="109"/>
        <w:gridCol w:w="109"/>
        <w:gridCol w:w="109"/>
        <w:gridCol w:w="211"/>
        <w:gridCol w:w="778"/>
        <w:gridCol w:w="109"/>
        <w:gridCol w:w="109"/>
        <w:gridCol w:w="109"/>
        <w:gridCol w:w="109"/>
        <w:gridCol w:w="211"/>
        <w:gridCol w:w="778"/>
        <w:gridCol w:w="109"/>
        <w:gridCol w:w="109"/>
        <w:gridCol w:w="109"/>
        <w:gridCol w:w="109"/>
        <w:gridCol w:w="211"/>
        <w:gridCol w:w="721"/>
        <w:gridCol w:w="109"/>
        <w:gridCol w:w="109"/>
        <w:gridCol w:w="109"/>
        <w:gridCol w:w="109"/>
        <w:gridCol w:w="211"/>
        <w:gridCol w:w="778"/>
        <w:gridCol w:w="157"/>
      </w:tblGrid>
      <w:tr>
        <w:trPr/>
        <w:tc>
          <w:tcPr>
            <w:tcW w:w="81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(56,633)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(32,337)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(50,811)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(66,318)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20"/>
          <w:shd w:fill="FFFFFF" w:val="clear"/>
        </w:rPr>
        <w:t>Includes amortization of capitalized interest, capitalization and amortization of indirect costs, impairment of capitalized interest and capitalized indirect costs, when applicable, expenses related to numerous shared services functions that benefit all segments but are not allocated to the operating segments reported above, including information technology, treasury, corporate finance, legal, branding and national marketing, and certain other amounts that are not allocated to our operating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operating income decreased by $32.3 million to a loss of $19.0 million for the three months ended March 31, 2026, compared to operating income of $13.4 million for the three months ended March 31, 2025. This decrease compared to the prior year quarter was primarily due to the previously discussed decrease in gross profit and gross margin. SG&amp;A expense decreased 6.5% compared to the prior year primarily due to lower commissions expense on lower homebuilding revenue. SG&amp;A as a percentage of total revenue increased by 350 basis points compared to the prior year quarter, from 12.0% to 15.5%, primarily due to lower homebuilding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operating income decreased by $66.3 million to a loss of $50.8 million for the six months ended March 31, 2026, compared to operating income of $15.5 million for the six months ended March 31, 2025. This decrease compared to the prior year period was primarily due to the previously discussed decrease in gross profit and gross margin. SG&amp;A expense decreased 3.9% compared to the prior year primarily due to lower commissions expense on lower homebuilding revenue, partially offset by higher sales and marketing costs. SG&amp;A as a percentage of total revenue increased by 370 basis points compared to the prior year period, from 12.9% to 16.6%, primarily due to lower homebuilding revenue.</w:t>
      </w:r>
    </w:p>
    <w:p>
      <w:pPr>
        <w:pStyle w:val="TextBody"/>
        <w:bidi w:val="0"/>
        <w:spacing w:lineRule="auto" w:line="288" w:before="24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Three Months Ended March 31, 2026 as compared to 2025</w:t>
      </w:r>
    </w:p>
    <w:p>
      <w:pPr>
        <w:pStyle w:val="TextBody"/>
        <w:bidi w:val="0"/>
        <w:spacing w:lineRule="auto" w:line="288" w:before="180" w:after="283"/>
        <w:jc w:val="both"/>
        <w:rPr/>
      </w:pPr>
      <w:r>
        <w:rPr>
          <w:rFonts w:ascii="Times New Roman;serif" w:hAnsi="Times New Roman;serif"/>
          <w:b w:val="false"/>
          <w:i/>
          <w:color w:val="000000"/>
          <w:sz w:val="20"/>
          <w:shd w:fill="FFFFFF" w:val="clear"/>
        </w:rPr>
        <w:t xml:space="preserve">West Segment: </w:t>
      </w:r>
      <w:r>
        <w:rPr>
          <w:rFonts w:ascii="Times New Roman;serif" w:hAnsi="Times New Roman;serif"/>
          <w:b w:val="false"/>
          <w:color w:val="000000"/>
          <w:sz w:val="20"/>
          <w:shd w:fill="FFFFFF" w:val="clear"/>
        </w:rPr>
        <w:t xml:space="preserve">The $33.4 million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oper</w:t>
      </w:r>
      <w:r>
        <w:rPr>
          <w:rFonts w:ascii="Times New Roman;serif" w:hAnsi="Times New Roman;serif"/>
          <w:b w:val="false"/>
          <w:color w:val="000000"/>
          <w:sz w:val="20"/>
        </w:rPr>
        <w:t>ating income compared to the prior year quarter was primarily due to the lower gross profit previously discussed and higher sales and marketing costs,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The $3.2 million decrease in operating income compared to the prior year quarter was primarily due to the lower gross profit previously discussed and higher sales and marketing costs,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The $0.8 million increase in operating income compared to the prior year quarter was primarily due to the higher gross profit previously discussed and lower other G&amp;A costs, partially offset by higher sales and marketing costs.</w:t>
      </w:r>
    </w:p>
    <w:p>
      <w:pPr>
        <w:pStyle w:val="TextBody"/>
        <w:bidi w:val="0"/>
        <w:spacing w:lineRule="auto" w:line="288" w:before="180" w:after="283"/>
        <w:jc w:val="both"/>
        <w:rPr/>
      </w:pPr>
      <w:r>
        <w:rPr>
          <w:rFonts w:ascii="Times New Roman;serif" w:hAnsi="Times New Roman;serif"/>
          <w:b w:val="false"/>
          <w:i/>
          <w:color w:val="000000"/>
          <w:sz w:val="20"/>
        </w:rPr>
        <w:t>Corporate and Unallocated:</w:t>
      </w:r>
      <w:r>
        <w:rPr>
          <w:color w:val="000000"/>
        </w:rPr>
        <w:t xml:space="preserve"> </w:t>
      </w:r>
      <w:r>
        <w:rPr>
          <w:rFonts w:ascii="Times New Roman;serif" w:hAnsi="Times New Roman;serif"/>
          <w:b w:val="false"/>
          <w:color w:val="000000"/>
          <w:sz w:val="20"/>
        </w:rPr>
        <w:t>Our corporate and unallocated results include amortization of capitalized interest, capitalization and amortization of indirect costs, impairment of capitalized interest and capitalized indirect costs, expenses for various shared services functions that benefit all segments but are not allocated, including information technology, treasury, corporate finance, legal, branding and national marketing, and certain other amounts that are not allocated to our operating segments. For the three months ended March 31, 2026, corporate and unallocated net expenses decreased by $3.5 million from the prior year quarter primarily due to lower amortization of capitalized interest costs expensed to homebuilding cost of sales on lower closings and homebuilding revenue, and lower G&amp;A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ind w:left="0" w:right="0" w:hanging="180"/>
        <w:jc w:val="both"/>
        <w:rPr/>
      </w:pPr>
      <w:r>
        <w:rPr>
          <w:rFonts w:ascii="Times New Roman;serif" w:hAnsi="Times New Roman;serif"/>
          <w:b/>
          <w:i/>
          <w:color w:val="000000"/>
          <w:sz w:val="20"/>
          <w:shd w:fill="FFFFFF" w:val="clear"/>
        </w:rPr>
        <w:t>Six Months Ended March 31, 2026</w:t>
      </w:r>
      <w:r>
        <w:rPr>
          <w:color w:val="000000"/>
        </w:rPr>
        <w:t xml:space="preserve"> </w:t>
      </w:r>
      <w:r>
        <w:rPr>
          <w:rFonts w:ascii="Times New Roman;serif" w:hAnsi="Times New Roman;serif"/>
          <w:b/>
          <w:i/>
          <w:color w:val="000000"/>
          <w:sz w:val="20"/>
          <w:shd w:fill="FFFFFF" w:val="clear"/>
        </w:rPr>
        <w:t xml:space="preserve">as compared to </w:t>
      </w:r>
      <w:r>
        <w:rPr>
          <w:rFonts w:ascii="Times New Roman;serif" w:hAnsi="Times New Roman;serif"/>
          <w:b/>
          <w:i/>
          <w:color w:val="000000"/>
          <w:sz w:val="20"/>
        </w:rPr>
        <w:t>2025</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The $56.6 million decrease in operating income compared to the prior year period was primarily due to the decrease in gross profit previously discussed and higher sales and marketing costs,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The $6.4 million decrease in operating income compared to the prior year period was primarily due to the decrease in gross profit previously discussed and higher sales and marketing costs, partially offset by lower commission expenses on lower homebuilding revenue.</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The $1.8 million decrease in operating income compared to the prior year period was primarily due to the decrease in gross profit previously discussed and higher sales and marketing costs,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rPr>
        <w:t>Corporate and Unallocated:</w:t>
      </w:r>
      <w:r>
        <w:rPr>
          <w:color w:val="000000"/>
        </w:rPr>
        <w:t xml:space="preserve"> </w:t>
      </w:r>
      <w:r>
        <w:rPr>
          <w:rFonts w:ascii="Times New Roman;serif" w:hAnsi="Times New Roman;serif"/>
          <w:b w:val="false"/>
          <w:color w:val="000000"/>
          <w:sz w:val="20"/>
        </w:rPr>
        <w:t>For the six months ended March 31, 2026, corporate and unallocated net expenses increased by $1.5 million from the prior year period primarily due to a litigation-related charge (refer to Note 8 to the condensed consolidated financial statements included in this Form 10-Q for further discussion), partially offset by lower amortization of capitalized interest costs expensed to homebuilding cost of sales on lower closings and homebuilding revenue.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income tax expense or benefit and related effective tax rate are affected by a variety of factors, including, but not limited to, tax credits, permanent differences and other discrete items. A comparison of our effective tax rates should also consider the changes in valuation allowance in periods when a change occurs. As such, our income tax expense or benefit is not always directly correlated to the amount of pre-tax income or loss for the associated periods. For the three and six months ended March 31, 2026, the Company's effective tax rates were also affected by a change in the approach used to calculate the interim income tax provision, reducing comparability with the prior year periods. Refer to Note 10 to the condensed consolidated financial statements included in this Form 10-Q for additional details.</w:t>
      </w:r>
    </w:p>
    <w:p>
      <w:pPr>
        <w:pStyle w:val="TextBody"/>
        <w:bidi w:val="0"/>
        <w:spacing w:lineRule="auto" w:line="288" w:before="180" w:after="283"/>
        <w:jc w:val="both"/>
        <w:rPr/>
      </w:pPr>
      <w:r>
        <w:rPr>
          <w:rFonts w:ascii="Times New Roman;serif" w:hAnsi="Times New Roman;serif"/>
          <w:b w:val="false"/>
          <w:color w:val="000000"/>
          <w:sz w:val="20"/>
        </w:rPr>
        <w:t>We recognized income tax benefit of $17.6 million and $16.1 million for the three and six months ended March 31, 2026, compared to income tax expense of $1.4 million and $1.4 million for the three and six months ended March 31, 2025. Income tax benefit for the six months ended March 31, 2026 was primarily driven by income tax benefit on loss from operations, en</w:t>
      </w:r>
      <w:r>
        <w:rPr>
          <w:rFonts w:ascii="Times New Roman;serif" w:hAnsi="Times New Roman;serif"/>
          <w:b w:val="false"/>
          <w:color w:val="000000"/>
          <w:sz w:val="20"/>
          <w:shd w:fill="FFFFFF" w:val="clear"/>
        </w:rPr>
        <w:t>ergy efficiency tax credits generated from closings during the current fiscal year, and a discrete tax benefit from tax credits related to prior year activities, partially offset by permanent differences, and stock-based compensation activity in the period.</w:t>
      </w:r>
      <w:r>
        <w:rPr>
          <w:color w:val="000000"/>
        </w:rPr>
        <w:t xml:space="preserve"> </w:t>
      </w:r>
      <w:r>
        <w:rPr>
          <w:rFonts w:ascii="Times New Roman;serif" w:hAnsi="Times New Roman;serif"/>
          <w:b w:val="false"/>
          <w:color w:val="000000"/>
          <w:sz w:val="20"/>
        </w:rPr>
        <w:t xml:space="preserve">Income tax expense for the six months ended March 31, 2025 was primarily driven by </w:t>
      </w:r>
      <w:r>
        <w:rPr>
          <w:rFonts w:ascii="Times New Roman;serif" w:hAnsi="Times New Roman;serif"/>
          <w:b w:val="false"/>
          <w:color w:val="000000"/>
          <w:sz w:val="20"/>
          <w:shd w:fill="FFFFFF" w:val="clear"/>
        </w:rPr>
        <w:t>income tax expense on earnings from operations and permanent differences, partially offset by energy efficiency tax credits generated from expected closings during the current fiscal year, and stock-based compensation activity in the period.</w:t>
      </w:r>
    </w:p>
    <w:p>
      <w:pPr>
        <w:pStyle w:val="TextBody"/>
        <w:bidi w:val="0"/>
        <w:spacing w:lineRule="auto" w:line="288" w:before="180" w:after="283"/>
        <w:jc w:val="both"/>
        <w:rPr/>
      </w:pPr>
      <w:r>
        <w:rPr>
          <w:rFonts w:ascii="Times New Roman;serif" w:hAnsi="Times New Roman;serif"/>
          <w:b w:val="false"/>
          <w:color w:val="000000"/>
          <w:sz w:val="20"/>
          <w:shd w:fill="FFFFFF" w:val="clear"/>
        </w:rPr>
        <w:t>On July 4, 2025, the One Big Beautiful Bill Act (OBBBA) was signed into law. The OBBBA repeals many of the energy efficiency credits enacted under the Inflat</w:t>
      </w:r>
      <w:r>
        <w:rPr>
          <w:rFonts w:ascii="Times New Roman;serif" w:hAnsi="Times New Roman;serif"/>
          <w:b w:val="false"/>
          <w:color w:val="000000"/>
          <w:sz w:val="20"/>
        </w:rPr>
        <w:t>ion Reduction Act, including our ability to claim energy efficient new home tax credits for homes that close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pPr>
      <w:r>
        <w:rPr>
          <w:rFonts w:ascii="Times New Roman;serif" w:hAnsi="Times New Roman;serif"/>
          <w:b w:val="false"/>
          <w:color w:val="000000"/>
          <w:sz w:val="20"/>
        </w:rPr>
        <w:t>Our sources of liquidity include, but are not limited to, cash from operations, proceeds from Senio</w:t>
      </w:r>
      <w:r>
        <w:rPr>
          <w:rFonts w:ascii="Times New Roman;serif" w:hAnsi="Times New Roman;serif"/>
          <w:b w:val="false"/>
          <w:color w:val="000000"/>
          <w:sz w:val="20"/>
          <w:shd w:fill="FFFFFF" w:val="clear"/>
        </w:rPr>
        <w:t>r Notes, our Senior Unsecured Revolving Credit Facility and other bank borrowings, the issuance of equity and equity-linked securities, and other external sources of funds. Ou</w:t>
      </w:r>
      <w:r>
        <w:rPr>
          <w:rFonts w:ascii="Times New Roman;serif" w:hAnsi="Times New Roman;serif"/>
          <w:b w:val="false"/>
          <w:color w:val="000000"/>
          <w:sz w:val="20"/>
        </w:rPr>
        <w:t>r short-term and long-term liquidity depends primarily upon our level of net income, working capital management (cash, accounts receivable, accounts payable and other liabilities), and available credit facilities.</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Net changes in cash, cash equivalents, and restricted cash are as follows for the periods presented:</w:t>
      </w:r>
    </w:p>
    <w:tbl>
      <w:tblPr>
        <w:tblW w:w="7816" w:type="dxa"/>
        <w:jc w:val="center"/>
        <w:tblInd w:w="0" w:type="dxa"/>
        <w:tblLayout w:type="fixed"/>
        <w:tblCellMar>
          <w:top w:w="28" w:type="dxa"/>
          <w:left w:w="28" w:type="dxa"/>
          <w:bottom w:w="28" w:type="dxa"/>
          <w:right w:w="28" w:type="dxa"/>
        </w:tblCellMar>
      </w:tblPr>
      <w:tblGrid>
        <w:gridCol w:w="1733"/>
        <w:gridCol w:w="1523"/>
        <w:gridCol w:w="1528"/>
        <w:gridCol w:w="211"/>
        <w:gridCol w:w="901"/>
        <w:gridCol w:w="109"/>
        <w:gridCol w:w="109"/>
        <w:gridCol w:w="109"/>
        <w:gridCol w:w="109"/>
        <w:gridCol w:w="211"/>
        <w:gridCol w:w="901"/>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(98,170)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jc w:val="both"/>
        <w:rPr/>
      </w:pPr>
      <w:r>
        <w:rPr>
          <w:rFonts w:ascii="Times New Roman;serif" w:hAnsi="Times New Roman;serif"/>
          <w:b w:val="false"/>
          <w:color w:val="000000"/>
          <w:sz w:val="20"/>
        </w:rPr>
        <w:t>Net cash used in operating activities was $228.8 million for the six months ended March 31, 2026. The primary drivers of operating cash flows are typically cash earnings and changes in inventory levels, including land acquisition and development spending. Net cash used in operating activities during the period was primarily dri</w:t>
      </w:r>
      <w:r>
        <w:rPr>
          <w:rFonts w:ascii="Times New Roman;serif" w:hAnsi="Times New Roman;serif"/>
          <w:b w:val="false"/>
          <w:color w:val="000000"/>
          <w:sz w:val="20"/>
          <w:shd w:fill="FFFFFF" w:val="clear"/>
        </w:rPr>
        <w:t xml:space="preserve">ven by an increase in inventory of $224.8 million resulting from land acquisition, land development and house construction spending and loss before income taxes of $49.6 million, which included $15.2 million of non-cash charges. This was partially offset by cash inflows from a net decrease in non-inventory working capital balances of $30.5 million. </w:t>
      </w:r>
    </w:p>
    <w:p>
      <w:pPr>
        <w:pStyle w:val="TextBody"/>
        <w:bidi w:val="0"/>
        <w:spacing w:lineRule="auto" w:line="288" w:before="180" w:after="283"/>
        <w:jc w:val="both"/>
        <w:rPr/>
      </w:pPr>
      <w:r>
        <w:rPr>
          <w:rFonts w:ascii="Times New Roman;serif" w:hAnsi="Times New Roman;serif"/>
          <w:b w:val="false"/>
          <w:color w:val="000000"/>
          <w:sz w:val="20"/>
        </w:rPr>
        <w:t>Net cash used in operating activities was $155.9 million for the six months ended March 31, 2025. Net cash used in operating activities during the period was primarily dri</w:t>
      </w:r>
      <w:r>
        <w:rPr>
          <w:rFonts w:ascii="Times New Roman;serif" w:hAnsi="Times New Roman;serif"/>
          <w:b w:val="false"/>
          <w:color w:val="000000"/>
          <w:sz w:val="20"/>
          <w:shd w:fill="FFFFFF" w:val="clear"/>
        </w:rPr>
        <w:t>ven by an increase in inventory of $191.0 million resulting from land acquisition, land development and house construction spending to support growth. This was partially offset by cash inflows from income before income taxes of $17.3 million, which included $12.7 million of non-cash charges, and a net decrease in non-inventory working capital balances of $5.1 million.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jc w:val="both"/>
        <w:rPr/>
      </w:pPr>
      <w:r>
        <w:rPr>
          <w:rFonts w:ascii="Times New Roman;serif" w:hAnsi="Times New Roman;serif"/>
          <w:b w:val="false"/>
          <w:color w:val="000000"/>
          <w:sz w:val="20"/>
        </w:rPr>
        <w:t>Net cash used in investing activities was $14.3 million for the six months ended March 31, 2026, primarily driven by capital expenditures for model homes and information systems infrastructure and purchases of investment securities</w:t>
      </w:r>
      <w:r>
        <w:rPr>
          <w:rFonts w:ascii="Times New Roman;serif" w:hAnsi="Times New Roman;serif"/>
          <w:b w:val="false"/>
          <w:color w:val="000000"/>
          <w:sz w:val="20"/>
          <w:shd w:fill="FFFFFF" w:val="clear"/>
        </w:rPr>
        <w:t>.</w:t>
      </w:r>
    </w:p>
    <w:p>
      <w:pPr>
        <w:pStyle w:val="TextBody"/>
        <w:bidi w:val="0"/>
        <w:spacing w:lineRule="auto" w:line="288" w:before="180" w:after="283"/>
        <w:jc w:val="both"/>
        <w:rPr/>
      </w:pPr>
      <w:r>
        <w:rPr>
          <w:rFonts w:ascii="Times New Roman;serif" w:hAnsi="Times New Roman;serif"/>
          <w:b w:val="false"/>
          <w:color w:val="000000"/>
          <w:sz w:val="20"/>
        </w:rPr>
        <w:t>Net cash used in investing activities was $9.4 million for the six months ended March 31, 2025, primarily driven by capital expenditures for model homes and information systems infrastructure</w:t>
      </w:r>
      <w:r>
        <w:rPr>
          <w:rFonts w:ascii="Times New Roman;serif" w:hAnsi="Times New Roman;serif"/>
          <w:b w:val="false"/>
          <w:color w:val="000000"/>
          <w:sz w:val="20"/>
          <w:shd w:fill="FFFFFF" w:val="clear"/>
        </w:rPr>
        <w:t>, partially offset by proceeds from maturities in investment securities.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jc w:val="both"/>
        <w:rPr/>
      </w:pPr>
      <w:r>
        <w:rPr>
          <w:rFonts w:ascii="Times New Roman;serif" w:hAnsi="Times New Roman;serif"/>
          <w:b w:val="false"/>
          <w:color w:val="000000"/>
          <w:sz w:val="20"/>
        </w:rPr>
        <w:t>Net cash provided by financing activities was $145.0 million for the six months ended March 31, 2026, primarily driven by net borrowings from our Unsecured Facility, partially offset by common stock repurchases under our share repurchase program, tax payments for stock-based compensation awards vesting, and debt issuance costs incurred to increase the borrowing capacity and extend the term of our Unsecured Facility (refer to Note 6</w:t>
      </w:r>
      <w:r>
        <w:rPr>
          <w:color w:val="000000"/>
          <w:shd w:fill="FFFFFF" w:val="clear"/>
        </w:rPr>
        <w:t xml:space="preserve"> </w:t>
      </w:r>
      <w:r>
        <w:rPr>
          <w:rFonts w:ascii="Times New Roman;serif" w:hAnsi="Times New Roman;serif"/>
          <w:b w:val="false"/>
          <w:color w:val="000000"/>
          <w:sz w:val="20"/>
          <w:shd w:fill="FFFFFF" w:val="clear"/>
        </w:rPr>
        <w:t>to the condensed consolidated financial statements included in this Form 10-Q for further discussion</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$31.2 million for the six months ended March 31, 2025, primarily driven by net borrowings from our Unsecured Facility, partially offset by common stock repurchases under our share repurchase program and tax payments for stock-based compensation awards vesting.</w:t>
      </w:r>
    </w:p>
    <w:p>
      <w:pPr>
        <w:pStyle w:val="TextBody"/>
        <w:bidi w:val="0"/>
        <w:spacing w:lineRule="auto" w:line="288" w:before="240" w:after="283"/>
        <w:jc w:val="both"/>
        <w:rPr/>
      </w:pPr>
      <w:r>
        <w:rPr>
          <w:rFonts w:ascii="Times New Roman;serif" w:hAnsi="Times New Roman;serif"/>
          <w:b/>
          <w:color w:val="000000"/>
          <w:sz w:val="20"/>
        </w:rPr>
        <w:t>Financial Position</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As of March 31, 2026, our liquidity position consisted of $116.4 million</w:t>
      </w:r>
      <w:r>
        <w:rPr>
          <w:color w:val="000000"/>
          <w:shd w:fill="FFFFFF" w:val="clear"/>
        </w:rPr>
        <w:t xml:space="preserve"> </w:t>
      </w:r>
      <w:r>
        <w:rPr>
          <w:rFonts w:ascii="Times New Roman;serif" w:hAnsi="Times New Roman;serif"/>
          <w:b w:val="false"/>
          <w:color w:val="000000"/>
          <w:sz w:val="20"/>
          <w:shd w:fill="FFFFFF" w:val="clear"/>
        </w:rPr>
        <w:t>in cash and cash equivalents and $284.7 million of remaining capacity under the Unsecured Facility, compared to $85.1 million in cash and cash equivalents and $292.6 million of remaining capacity under the Unsecured Facility as of March 31,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While we believe we possess sufficient liquidity, we are mindful of potential short-term or seasonal requirements for enhanced liquidity that may arise to operate and grow our business. As of the date of this report, we believe we have adequate capital resources and sufficient access to external financing sources to satisfy our current and long-term liquidity needs for funds to conduct our operations and meet other needs in the ordinary course of our business, however, we are continually reviewing our capital resources to determine whether we can meet our short- and long-term goals, and we may require additional capital to do so.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times, we may also engage in capital markets, bank loans, project debt or other financial transactions, including the repurchase of debt or potential new issuances of debt or equity securities to support our business needs. The amounts involved in these transactions, if any, may be material. In addition, as necessary or desirable, we may adjust or amend the terms of and/or expand the capacity of the Unsecured Facility, or enter into additional letter of credit facilities, or other similar facility arrangements, in each case with the same or other financial institutions, or allow any such facilities to mature or expire.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180" w:after="283"/>
        <w:jc w:val="both"/>
        <w:rPr/>
      </w:pPr>
      <w:r>
        <w:rPr>
          <w:rFonts w:ascii="Times New Roman;serif" w:hAnsi="Times New Roman;serif"/>
          <w:b w:val="false"/>
          <w:color w:val="000000"/>
          <w:sz w:val="20"/>
        </w:rPr>
        <w:t>We generally fulfill our short-term cas</w:t>
      </w:r>
      <w:r>
        <w:rPr>
          <w:rFonts w:ascii="Times New Roman;serif" w:hAnsi="Times New Roman;serif"/>
          <w:b w:val="false"/>
          <w:color w:val="000000"/>
          <w:sz w:val="20"/>
          <w:shd w:fill="FFFFFF" w:val="clear"/>
        </w:rPr>
        <w:t>h requirements with cash generated from our operations and available borrowings. Additionally, our Unsecured Facility provides working capital and letter of credit capacity of $525.0 million, which includes a letter of credit facility of up to $100.0 million. As of March 31, 2026, we had $195.0 million in borrowings and $45.3 million in letters of credit were outstanding under the Unsecured Facility, resulting in a remaining borrowing capacity of $284.7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future, we may from time to time seek to continue to retire or purchase our outstanding debt through cash repurchases or in exchange for other debt securities, in open market purchases, privately negotiated transactions, or otherwise. In addition, any material variance from our projected operating results could require us to obtain additional equity or debt financing. There can be no assurance that we will be able to complete any of these transactions in the future on favorable terms or at all. See Note 6 of the notes to the condensed consolidated financial statements in this Form 10-Q for additional details related to our borrowings.</w:t>
      </w:r>
    </w:p>
    <w:p>
      <w:pPr>
        <w:pStyle w:val="TextBody"/>
        <w:bidi w:val="0"/>
        <w:spacing w:lineRule="auto" w:line="28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Supplemental Guarantor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6 of the notes to the condensed consolidated financial statements in this Form 10-Q, the Company's obligations to pay principal and interest under certain debt agreements are guaranteed on a joint and several basis by substantially all of the Company's subsidiaries. Some of the immaterial subsidiaries do not guarantee the Senior Notes. The guarantees are full and unconditional. Summarized financial information is not presented for Beazer Homes USA, Inc. and the guarantor subsidiaries on a combined basis as the assets, liabilities and results of operations of the combined issuer and guarantors of the guaranteed security are not materially different than corresponding amounts presented in the condensed consolidated financial statements of the parent company.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Credit Ratings </w:t>
      </w:r>
    </w:p>
    <w:p>
      <w:pPr>
        <w:pStyle w:val="TextBody"/>
        <w:bidi w:val="0"/>
        <w:spacing w:lineRule="auto" w:line="288" w:before="180" w:after="283"/>
        <w:jc w:val="both"/>
        <w:rPr/>
      </w:pPr>
      <w:r>
        <w:rPr>
          <w:rFonts w:ascii="Times New Roman;serif" w:hAnsi="Times New Roman;serif"/>
          <w:b w:val="false"/>
          <w:color w:val="000000"/>
          <w:sz w:val="20"/>
          <w:shd w:fill="FFFFFF" w:val="clear"/>
        </w:rPr>
        <w:t>Our credit ratings are periodically reviewed by rating agencies. In March 2026, S&amp;P reaffirmed the Company’s corporate credit rating of B, reaffirmed the Company's Senior Notes' rating of B, and revised the Company's outlook from stable to negative. Also in March 2026, Moody's revised the Company's issuer corporate family rating from B1 to B2, the Company's Senior Notes rating from B1 to a B2, and reaffirmed the Company's outlook of stable. These ratings and our current credit condition affect, among other things, our ability to access new capital. These ratings are not recommendations to buy, sell or hold debt securities. Negative changes to these ratings may result in more stringent covenants and higher interest rates under the terms of any new debt. Our credit ratings could be lowered, or rating agencie</w:t>
      </w:r>
      <w:r>
        <w:rPr>
          <w:rFonts w:ascii="Times New Roman;serif" w:hAnsi="Times New Roman;serif"/>
          <w:b w:val="false"/>
          <w:color w:val="000000"/>
          <w:sz w:val="20"/>
        </w:rPr>
        <w:t>s could issue adverse commentaries in the future, which could have a material adverse effect on our business, financial condition, results of operations, and liquidity. In particular, a weakening of our financial condition, including any further increase in our leverage or decrease in our profitability or cash flows, could adversely affect our ability to obtain necessary funds, could result in a credit rating downgrade or change in outlook, or could otherwise increase our cost of borrowing.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Share Repurchases and Dividends Paid</w:t>
      </w:r>
    </w:p>
    <w:p>
      <w:pPr>
        <w:pStyle w:val="TextBody"/>
        <w:bidi w:val="0"/>
        <w:spacing w:lineRule="auto" w:line="288" w:before="180" w:after="283"/>
        <w:jc w:val="both"/>
        <w:rPr/>
      </w:pPr>
      <w:r>
        <w:rPr>
          <w:rFonts w:ascii="Times New Roman;serif" w:hAnsi="Times New Roman;serif"/>
          <w:b w:val="false"/>
          <w:color w:val="000000"/>
          <w:sz w:val="20"/>
        </w:rPr>
        <w:t>In April 2025, the Company's Board of Directors approved a share repurchase program that authorizes the Company to repurchase up to $100.0 million of its outstanding common stock. The repurchase program has no expiration date and repurchases may be conducted through open market purchases, 10b5-1 plans, accelerated share repurchases, or private transactions. T</w:t>
      </w:r>
      <w:r>
        <w:rPr>
          <w:rFonts w:ascii="Times New Roman;serif" w:hAnsi="Times New Roman;serif"/>
          <w:b w:val="false"/>
          <w:color w:val="000000"/>
          <w:sz w:val="20"/>
          <w:shd w:fill="FFFFFF" w:val="clear"/>
        </w:rPr>
        <w:t xml:space="preserve">he Company repurchased 1.2 million shares of its common stock for an aggregate </w:t>
      </w:r>
      <w:r>
        <w:rPr>
          <w:rFonts w:ascii="Times New Roman;serif" w:hAnsi="Times New Roman;serif"/>
          <w:b w:val="false"/>
          <w:color w:val="000000"/>
          <w:sz w:val="20"/>
        </w:rPr>
        <w:t>$30.0 million</w:t>
      </w:r>
      <w:r>
        <w:rPr>
          <w:color w:val="000000"/>
          <w:shd w:fill="FFFFFF" w:val="clear"/>
        </w:rPr>
        <w:t xml:space="preserve"> </w:t>
      </w:r>
      <w:r>
        <w:rPr>
          <w:rFonts w:ascii="Times New Roman;serif" w:hAnsi="Times New Roman;serif"/>
          <w:b w:val="false"/>
          <w:color w:val="000000"/>
          <w:sz w:val="20"/>
          <w:shd w:fill="FFFFFF" w:val="clear"/>
        </w:rPr>
        <w:t xml:space="preserve">(inclusive of commissions and exclusive of accrued excise tax) at an average price per share of </w:t>
      </w:r>
      <w:r>
        <w:rPr>
          <w:rFonts w:ascii="Times New Roman;serif" w:hAnsi="Times New Roman;serif"/>
          <w:b w:val="false"/>
          <w:color w:val="000000"/>
          <w:sz w:val="20"/>
        </w:rPr>
        <w:t>$25.54</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March 31, 2026. This brings the total repurchases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March 31, 2026 to 1.9 million</w:t>
      </w:r>
      <w:r>
        <w:rPr>
          <w:color w:val="000000"/>
        </w:rPr>
        <w:t xml:space="preserve"> </w:t>
      </w:r>
      <w:r>
        <w:rPr>
          <w:rFonts w:ascii="Times New Roman;serif" w:hAnsi="Times New Roman;serif"/>
          <w:b w:val="false"/>
          <w:color w:val="000000"/>
          <w:sz w:val="20"/>
        </w:rPr>
        <w:t xml:space="preserve">shares of common stock for $45.1 million at an average price per share of $24.12. During the three and six months ended March 31, 2025, </w:t>
      </w:r>
      <w:r>
        <w:rPr>
          <w:rFonts w:ascii="Times New Roman;serif" w:hAnsi="Times New Roman;serif"/>
          <w:b w:val="false"/>
          <w:color w:val="000000"/>
          <w:sz w:val="20"/>
          <w:shd w:fill="FFFFFF" w:val="clear"/>
        </w:rPr>
        <w:t xml:space="preserve">905 thousand </w:t>
      </w:r>
      <w:r>
        <w:rPr>
          <w:rFonts w:ascii="Times New Roman;serif" w:hAnsi="Times New Roman;serif"/>
          <w:b w:val="false"/>
          <w:color w:val="000000"/>
          <w:sz w:val="20"/>
        </w:rPr>
        <w:t xml:space="preserve">shares were repurchased for </w:t>
      </w:r>
      <w:r>
        <w:rPr>
          <w:rFonts w:ascii="Times New Roman;serif" w:hAnsi="Times New Roman;serif"/>
          <w:b w:val="false"/>
          <w:color w:val="000000"/>
          <w:sz w:val="20"/>
          <w:shd w:fill="FFFFFF" w:val="clear"/>
        </w:rPr>
        <w:t xml:space="preserve">$20.6 million </w:t>
      </w:r>
      <w:r>
        <w:rPr>
          <w:rFonts w:ascii="Times New Roman;serif" w:hAnsi="Times New Roman;serif"/>
          <w:b w:val="false"/>
          <w:color w:val="000000"/>
          <w:sz w:val="20"/>
        </w:rPr>
        <w:t xml:space="preserve">at an average price per share of </w:t>
      </w:r>
      <w:r>
        <w:rPr>
          <w:rFonts w:ascii="Times New Roman;serif" w:hAnsi="Times New Roman;serif"/>
          <w:b w:val="false"/>
          <w:color w:val="000000"/>
          <w:sz w:val="20"/>
          <w:shd w:fill="FFFFFF" w:val="clear"/>
        </w:rPr>
        <w:t>$22.73</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All shares have been retired upon repurchase. As of March 31, 2026, the remaining availability of the share repurchase program was $42.3 million.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indentures under which our Senior Notes were issued contain certain restrictive covenants, including limitations on the payment of dividends. There were no dividends paid during the three and six months ended March 31, 2026 or 2025.</w:t>
      </w:r>
    </w:p>
    <w:p>
      <w:pPr>
        <w:pStyle w:val="TextBody"/>
        <w:bidi w:val="0"/>
        <w:spacing w:lineRule="auto" w:line="288" w:before="180" w:after="283"/>
        <w:jc w:val="both"/>
        <w:rPr/>
      </w:pPr>
      <w:r>
        <w:rPr>
          <w:rFonts w:ascii="Times New Roman;serif" w:hAnsi="Times New Roman;serif"/>
          <w:b/>
          <w:color w:val="000000"/>
          <w:sz w:val="20"/>
        </w:rPr>
        <w:t>Off</w:t>
      </w:r>
      <w:r>
        <w:rPr>
          <w:rFonts w:ascii="Times New Roman;serif" w:hAnsi="Times New Roman;serif"/>
          <w:b/>
          <w:color w:val="000000"/>
          <w:sz w:val="20"/>
          <w:shd w:fill="FFFFFF" w:val="clear"/>
        </w:rPr>
        <w:t>-Balance Sheet Arrangements and Aggregate Contractual Commitments</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Lot Option Agreements</w:t>
      </w:r>
    </w:p>
    <w:p>
      <w:pPr>
        <w:pStyle w:val="TextBody"/>
        <w:bidi w:val="0"/>
        <w:spacing w:lineRule="auto" w:line="288" w:before="180" w:after="283"/>
        <w:jc w:val="both"/>
        <w:rPr/>
      </w:pPr>
      <w:r>
        <w:rPr>
          <w:rFonts w:ascii="Times New Roman;serif" w:hAnsi="Times New Roman;serif"/>
          <w:b w:val="false"/>
          <w:color w:val="000000"/>
          <w:sz w:val="20"/>
          <w:shd w:fill="FFFFFF" w:val="clear"/>
        </w:rPr>
        <w:t>In addit</w:t>
      </w:r>
      <w:r>
        <w:rPr>
          <w:rFonts w:ascii="Times New Roman;serif" w:hAnsi="Times New Roman;serif"/>
          <w:b w:val="false"/>
          <w:color w:val="000000"/>
          <w:sz w:val="20"/>
        </w:rPr>
        <w:t xml:space="preserve">ion to purchasing land directly, we control a portion of our land supply through lot option agreements with land developers and land bankers, which generally require the payment of cash or issuance of an irrevocable letter of credit or surety bond for the right to acquire lots during a specified period of time at a specified price. In recent years, we have focused on increasing our lot option agreement usage to minimize risk as we grow our land position. As of March 31, 2026, we controlled 24,824 lots, which includes 251 lots of land held for future development and 954 lots of land held for sale. Of the 23,619 active lots, we controlled 14,145 of these lots, or 59.9%, through option agreements, as compared to 16,322 active lots controlled, or 59.3% of our total active lots, through option agreements as of March 31, 2025. Lot option agreements allow us to position for future growth while providing the flexibility to respond to market conditions by renegotiating the terms of the options prior to exercise or terminating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shd w:fill="FFFFFF" w:val="clear"/>
        </w:rPr>
        <w:t>Under option agreements, purchase of the properties is contingent upon satisfaction of certain requirements by us and the sellers, and our liability is generally limited to forfeit</w:t>
      </w:r>
      <w:r>
        <w:rPr>
          <w:rFonts w:ascii="Times New Roman;serif" w:hAnsi="Times New Roman;serif"/>
          <w:b w:val="false"/>
          <w:color w:val="000000"/>
          <w:sz w:val="20"/>
        </w:rPr>
        <w:t>ure of the non-refundable deposits, letters of credit or surety bonds, and other non-refundable amounts incurred, which totaled $373.4 million as of March 31, 2026. The total remaining purchase price, net of cash deposits, committed under all options was $1.64 billion</w:t>
      </w:r>
      <w:r>
        <w:rPr>
          <w:color w:val="000000"/>
          <w:shd w:fill="FFFFFF" w:val="clear"/>
        </w:rPr>
        <w:t xml:space="preserve"> </w:t>
      </w:r>
      <w:r>
        <w:rPr>
          <w:rFonts w:ascii="Times New Roman;serif" w:hAnsi="Times New Roman;serif"/>
          <w:b w:val="false"/>
          <w:color w:val="000000"/>
          <w:sz w:val="20"/>
          <w:shd w:fill="FFFFFF" w:val="clear"/>
        </w:rPr>
        <w:t>as of March 31, 2026. Subject to market conditions and our liquidity, we may further expand our use of option agreements to supp</w:t>
      </w:r>
      <w:r>
        <w:rPr>
          <w:rFonts w:ascii="Times New Roman;serif" w:hAnsi="Times New Roman;serif"/>
          <w:b w:val="false"/>
          <w:color w:val="000000"/>
          <w:sz w:val="20"/>
        </w:rPr>
        <w:t>lement our inventory supply.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expect to exercise, subject to market conditions and seller satisfaction of contract terms, most of our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historically funded the exercise of lot options with operating cash flows. We expect these sources to continue to be adequate to fund anticipated future option exercises. Therefore, we do not anticipate that the exercise of our lot options will have a material adverse effect on our liquidity.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Letters of Credit and Surety Bonds</w:t>
      </w:r>
    </w:p>
    <w:p>
      <w:pPr>
        <w:pStyle w:val="TextBody"/>
        <w:bidi w:val="0"/>
        <w:spacing w:lineRule="auto" w:line="288" w:before="180" w:after="283"/>
        <w:jc w:val="both"/>
        <w:rPr/>
      </w:pPr>
      <w:r>
        <w:rPr>
          <w:rFonts w:ascii="Times New Roman;serif" w:hAnsi="Times New Roman;serif"/>
          <w:b w:val="false"/>
          <w:color w:val="000000"/>
          <w:sz w:val="20"/>
        </w:rPr>
        <w:t>In connection with the development of our communities, we are frequently required to provide performance, maintenance, and other bonds and letters of credit in support of our related obligations w</w:t>
      </w:r>
      <w:r>
        <w:rPr>
          <w:rFonts w:ascii="Times New Roman;serif" w:hAnsi="Times New Roman;serif"/>
          <w:b w:val="false"/>
          <w:color w:val="000000"/>
          <w:sz w:val="20"/>
          <w:shd w:fill="FFFFFF" w:val="clear"/>
        </w:rPr>
        <w:t>ith respect to such developments. The amount of such obligations outstanding at any time varies in accordance with our pending development activities. In the event any such bonds or letters of credit are drawn upon, we would be obligated to reimburse the issuer of such bonds or letters of credit. We had outstanding letters of credit, surety bonds, and surety-backed letters of credit of $45.3 million, $364.3 million, and $4.6 million</w:t>
      </w:r>
      <w:r>
        <w:rPr>
          <w:color w:val="000000"/>
        </w:rPr>
        <w:t xml:space="preserve"> </w:t>
      </w:r>
      <w:r>
        <w:rPr>
          <w:rFonts w:ascii="Times New Roman;serif" w:hAnsi="Times New Roman;serif"/>
          <w:b w:val="false"/>
          <w:color w:val="000000"/>
          <w:sz w:val="20"/>
        </w:rPr>
        <w:t xml:space="preserve">respectively, as of March 31, 2026, primarily related to our obligations to local governments to construct roads and other improvements in various developments.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require the use of judgment in their application and in certain cases require estimates of inherently uncertain matters. Although our accounting policies are in compliance with accounting principles generally accepted in the United States of America (GAAP), a change in the facts and circumstances of the underlying transactions could significantly change the application of the accounting policies and the resulting financial statement impact. It is also possible that other professionals applying reasonable judgment to the same set of facts and circumstances could reach a different conclusion. As disclosed in our 2025 Annual Report, our most critical accounting policies relate to inventory valuation of projects in progress, warranty reserves, and income tax valuation allowances. There have been no significant changes to our critical accounting policies and estimates during the six months ended March 31, 2026 as compared to those described in Item 7. Management's Discussion and Analysis of Financial Condition and Results of Operations included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both"/>
        <w:rPr/>
      </w:pPr>
      <w:r>
        <w:rPr>
          <w:rFonts w:ascii="Times New Roman;serif" w:hAnsi="Times New Roman;serif"/>
          <w:b w:val="false"/>
          <w:color w:val="000000"/>
          <w:sz w:val="20"/>
        </w:rPr>
        <w:t xml:space="preserve">We are exposed to a number of market risks in the ordinary course of business. Our primary market risk exposure relates to fluctuations in interest rates. We do not believe that our exposure in this area is material to our cash flows or results of operations. As of March 31, 2026, we had variable rate </w:t>
      </w:r>
      <w:r>
        <w:rPr>
          <w:rFonts w:ascii="Times New Roman;serif" w:hAnsi="Times New Roman;serif"/>
          <w:b w:val="false"/>
          <w:color w:val="000000"/>
          <w:sz w:val="20"/>
          <w:shd w:fill="FFFFFF" w:val="clear"/>
        </w:rPr>
        <w:t xml:space="preserve">debt outstanding related to our Junior Subordinated Notes and outstanding borrowings under our Unsecured Facility totaling approximately </w:t>
      </w:r>
      <w:r>
        <w:rPr>
          <w:rFonts w:ascii="Times New Roman;serif" w:hAnsi="Times New Roman;serif"/>
          <w:b w:val="false"/>
          <w:color w:val="000000"/>
          <w:sz w:val="20"/>
        </w:rPr>
        <w:t>$274.5 million</w:t>
      </w:r>
      <w:r>
        <w:rPr>
          <w:rFonts w:ascii="Times New Roman;serif" w:hAnsi="Times New Roman;serif"/>
          <w:b w:val="false"/>
          <w:color w:val="000000"/>
          <w:sz w:val="20"/>
          <w:shd w:fill="FFFFFF" w:val="clear"/>
        </w:rPr>
        <w:t>. A one percent increase in the interest rate for these notes would result in an increase of our interest expense by approximately $3.0 million over the next twelve-month period. The estimated fair value of our fixed-rate debt as of March 31, 2026 was $951.9 million</w:t>
      </w:r>
      <w:r>
        <w:rPr>
          <w:rFonts w:ascii="Times New Roman;serif" w:hAnsi="Times New Roman;serif"/>
          <w:b w:val="false"/>
          <w:color w:val="000000"/>
          <w:sz w:val="20"/>
        </w:rPr>
        <w:t>, compared to a carrying amou</w:t>
      </w:r>
      <w:r>
        <w:rPr>
          <w:rFonts w:ascii="Times New Roman;serif" w:hAnsi="Times New Roman;serif"/>
          <w:b w:val="false"/>
          <w:color w:val="000000"/>
          <w:sz w:val="20"/>
          <w:shd w:fill="FFFFFF" w:val="clear"/>
        </w:rPr>
        <w:t>nt of $951.5 million. The effect of a hypothetical one-percentage point decrease in our estimated discount rates would increase the estimated fair value of the fixed rate debt instruments from $951.9 million</w:t>
      </w:r>
      <w:r>
        <w:rPr>
          <w:color w:val="000000"/>
        </w:rPr>
        <w:t xml:space="preserve"> </w:t>
      </w:r>
      <w:r>
        <w:rPr>
          <w:rFonts w:ascii="Times New Roman;serif" w:hAnsi="Times New Roman;serif"/>
          <w:b w:val="false"/>
          <w:color w:val="000000"/>
          <w:sz w:val="20"/>
        </w:rPr>
        <w:t>to</w:t>
      </w:r>
      <w:r>
        <w:rPr>
          <w:color w:val="000000"/>
          <w:shd w:fill="FFFFFF" w:val="clear"/>
        </w:rPr>
        <w:t xml:space="preserve"> </w:t>
      </w:r>
      <w:r>
        <w:rPr>
          <w:rFonts w:ascii="Times New Roman;serif" w:hAnsi="Times New Roman;serif"/>
          <w:b w:val="false"/>
          <w:color w:val="000000"/>
          <w:sz w:val="20"/>
          <w:shd w:fill="FFFFFF" w:val="clear"/>
        </w:rPr>
        <w:t xml:space="preserve">$978.3 million </w:t>
      </w:r>
      <w:r>
        <w:rPr>
          <w:rFonts w:ascii="Times New Roman;serif" w:hAnsi="Times New Roman;serif"/>
          <w:b w:val="false"/>
          <w:color w:val="000000"/>
          <w:sz w:val="20"/>
        </w:rPr>
        <w:t>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80" w:after="283"/>
        <w:jc w:val="both"/>
        <w:rPr/>
      </w:pPr>
      <w:r>
        <w:rPr>
          <w:rFonts w:ascii="Times New Roman;serif" w:hAnsi="Times New Roman;serif"/>
          <w:b w:val="false"/>
          <w:color w:val="000000"/>
          <w:sz w:val="20"/>
        </w:rPr>
        <w:t xml:space="preserve">As of the end of the period covered by this report, an evaluation was performed based on criteria established in the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issued by the Committee of Sponsoring Organizations of the Treadway Commission (2013 Framework) under the supervision and with the participation of the Company’s management, including the Chief Executive Officer (CEO) and Chief Financial Officer (CFO), of the effectiveness of the Company’s disclosure controls and procedures as defined in Rule 13a-15(e) and 15d-15(e) under the Securities Exchange Act of 1934 (the Act). Based on that evaluation, the CEO and CFO concluded that the Company’s disclosure controls and procedures were effective as of March 31, 2026 at a reasonable assurance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Attached as exhibits to this Form 10-Q are certifications of our CEO and CFO, which are required by Rule 13a-14 of the Act. This Disclosure Controls and Procedures section includes information concerning management’s evaluation of disclosure controls and procedures referred to in those certifications and should be read in conjunction with the certifications of the CEO and CFO.</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pPr>
      <w:r>
        <w:rPr>
          <w:rFonts w:ascii="Times New Roman;serif" w:hAnsi="Times New Roman;serif"/>
          <w:b w:val="false"/>
          <w:color w:val="000000"/>
          <w:sz w:val="20"/>
        </w:rPr>
        <w:t>There have been n</w:t>
      </w:r>
      <w:r>
        <w:rPr>
          <w:rFonts w:ascii="Times New Roman;serif" w:hAnsi="Times New Roman;serif"/>
          <w:b w:val="false"/>
          <w:color w:val="000000"/>
          <w:sz w:val="20"/>
          <w:shd w:fill="FFFFFF" w:val="clear"/>
        </w:rPr>
        <w:t xml:space="preserve">o changes in the Company’s internal control over financial reporting during the quarter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our legal proceedings, see Note 8 of the notes to our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Risk Factors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changes to the risk factors we previously disclosed in our Annual Report on Form 10-K for the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table summarizes the Company's common stock repurchases during the quarter ended </w:t>
      </w:r>
      <w:r>
        <w:rPr>
          <w:rFonts w:ascii="Times New Roman;serif" w:hAnsi="Times New Roman;serif"/>
          <w:b w:val="false"/>
          <w:color w:val="000000"/>
          <w:sz w:val="20"/>
        </w:rPr>
        <w:t>March 31, 2026:</w:t>
      </w:r>
    </w:p>
    <w:tbl>
      <w:tblPr>
        <w:tblW w:w="10205" w:type="dxa"/>
        <w:jc w:val="left"/>
        <w:tblInd w:w="0" w:type="dxa"/>
        <w:tblLayout w:type="fixed"/>
        <w:tblCellMar>
          <w:top w:w="28" w:type="dxa"/>
          <w:left w:w="28" w:type="dxa"/>
          <w:bottom w:w="28" w:type="dxa"/>
          <w:right w:w="28" w:type="dxa"/>
        </w:tblCellMar>
      </w:tblPr>
      <w:tblGrid>
        <w:gridCol w:w="516"/>
        <w:gridCol w:w="392"/>
        <w:gridCol w:w="396"/>
        <w:gridCol w:w="109"/>
        <w:gridCol w:w="109"/>
        <w:gridCol w:w="109"/>
        <w:gridCol w:w="731"/>
        <w:gridCol w:w="412"/>
        <w:gridCol w:w="413"/>
        <w:gridCol w:w="109"/>
        <w:gridCol w:w="109"/>
        <w:gridCol w:w="109"/>
        <w:gridCol w:w="275"/>
        <w:gridCol w:w="803"/>
        <w:gridCol w:w="142"/>
        <w:gridCol w:w="109"/>
        <w:gridCol w:w="109"/>
        <w:gridCol w:w="109"/>
        <w:gridCol w:w="1008"/>
        <w:gridCol w:w="638"/>
        <w:gridCol w:w="640"/>
        <w:gridCol w:w="109"/>
        <w:gridCol w:w="109"/>
        <w:gridCol w:w="109"/>
        <w:gridCol w:w="368"/>
        <w:gridCol w:w="1887"/>
        <w:gridCol w:w="276"/>
      </w:tblGrid>
      <w:tr>
        <w:trPr/>
        <w:tc>
          <w:tcPr>
            <w:tcW w:w="51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Purchased Under the Program </w:t>
            </w:r>
            <w:r>
              <w:rPr>
                <w:rFonts w:ascii="Times New Roman;serif" w:hAnsi="Times New Roman;serif"/>
                <w:b/>
                <w:color w:val="000000"/>
                <w:sz w:val="10"/>
              </w:rPr>
              <w:t>(a)</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72,332,062 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1,175,773 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30,023,509 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42,308,554 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42,308,554 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1,175,773 </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30,023,509 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42,308,554 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In April 2025, the Company's Board of Directors approved a share repurchase program that authorizes the Company to repurchase up to $100.0 million of its outstanding common stock. The repurchase program has no expiration date and repurchases may be conducted through open market purchases, 10b5-1 plans, accelerated share repurchases, or private transactions. As of March 31, 2026, the remaining availability of the share repurchase program was $42.3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March 31,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4"/>
        <w:gridCol w:w="161"/>
        <w:gridCol w:w="166"/>
        <w:gridCol w:w="2918"/>
        <w:gridCol w:w="2802"/>
        <w:gridCol w:w="3974"/>
      </w:tblGrid>
      <w:tr>
        <w:trPr/>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397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Certificate of Amendment, dated February 5, 2026, to the Amended and Restated Certificate of Incorporation of Beazer Homes USA, Inc. (incorporated herein by reference to Exhibit 3.1 of the Company's Form 8-K filed on February 5, 2026)</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Third Amendment, dated as of March 13, 2026, to the Credit Agreement, dated as of October 13, 2022, among the Company, the several lenders from time to time parties thereto and JPMorgan Chase Bank, N.A., as an issuing lender and administrative agent (incorporated herein by reference to Exhibit 10.1 of the Company's Form 8-K filed on March 17, 2026)</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9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List of Guarantor Subsidiaries (incorporated herein by reference to Exhibit 22.1 of the Company's Form 10-Q filed on May 1, 2024)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6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33126ex311.htm">
              <w:r>
                <w:rPr>
                  <w:rStyle w:val="InternetLink"/>
                  <w:rFonts w:ascii="Times New Roman;serif" w:hAnsi="Times New Roman;serif"/>
                  <w:b w:val="false"/>
                  <w:color w:val="0000FF"/>
                  <w:sz w:val="20"/>
                  <w:u w:val="single"/>
                </w:rPr>
                <w:t>Certification of Chief Executive Officer pursuant to 17 CFR 240.13a-14 promulgated under Section 302 of the Sarbanes-Oxley Act of 2002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6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33126ex312.htm">
              <w:r>
                <w:rPr>
                  <w:rStyle w:val="InternetLink"/>
                  <w:rFonts w:ascii="Times New Roman;serif" w:hAnsi="Times New Roman;serif"/>
                  <w:b w:val="false"/>
                  <w:color w:val="0000FF"/>
                  <w:sz w:val="20"/>
                  <w:u w:val="single"/>
                </w:rPr>
                <w:t>Certification of Chief Financial Officer pursuant to 17 CFR 240.13a-14 promulgated under Section 302 of the Sarbanes-Oxley Act of 2002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6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33126ex321.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6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33126ex322.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The condensed consolidated financial statements and accompanying not</w:t>
            </w:r>
            <w:r>
              <w:rPr>
                <w:rFonts w:ascii="Times New Roman;serif" w:hAnsi="Times New Roman;serif"/>
                <w:b w:val="false"/>
                <w:color w:val="000000"/>
                <w:sz w:val="20"/>
                <w:shd w:fill="FFFFFF" w:val="clear"/>
              </w:rPr>
              <w:t xml:space="preserve">es in Part I, Financial Information </w:t>
            </w:r>
            <w:r>
              <w:rPr>
                <w:rFonts w:ascii="Times New Roman;serif" w:hAnsi="Times New Roman;serif"/>
                <w:b w:val="false"/>
                <w:color w:val="000000"/>
                <w:sz w:val="20"/>
              </w:rPr>
              <w:t>on Form 10-Q are formatted in Inline XBRL</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Furnished,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lineRule="auto" w:line="288" w:before="0" w:after="0"/>
        <w:jc w:val="left"/>
        <w:rPr/>
      </w:pPr>
      <w:hyperlink w:anchor="icc83763103cd4ed18e1f4763d7ab10d2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jc w:val="both"/>
        <w:rPr/>
      </w:pPr>
      <w:r>
        <w:rPr/>
      </w:r>
    </w:p>
    <w:tbl>
      <w:tblPr>
        <w:tblW w:w="519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224"/>
        <w:gridCol w:w="224"/>
        <w:gridCol w:w="224"/>
        <w:gridCol w:w="224"/>
        <w:gridCol w:w="224"/>
        <w:gridCol w:w="224"/>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3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Beazer Homes USA,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I. Goldberg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and</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Allan P. Merrill,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Beazer Homes USA,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549" w:type="dxa"/>
        <w:jc w:val="center"/>
        <w:tblInd w:w="0" w:type="dxa"/>
        <w:tblLayout w:type="fixed"/>
        <w:tblCellMar>
          <w:top w:w="28" w:type="dxa"/>
          <w:left w:w="28" w:type="dxa"/>
          <w:bottom w:w="28" w:type="dxa"/>
          <w:right w:w="28" w:type="dxa"/>
        </w:tblCellMar>
      </w:tblPr>
      <w:tblGrid>
        <w:gridCol w:w="124"/>
        <w:gridCol w:w="109"/>
        <w:gridCol w:w="109"/>
        <w:gridCol w:w="306"/>
        <w:gridCol w:w="306"/>
        <w:gridCol w:w="310"/>
        <w:gridCol w:w="668"/>
        <w:gridCol w:w="668"/>
        <w:gridCol w:w="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Allan P. Merrill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Allan P. Merrill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David I. Goldberg,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Beazer Homes USA,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4480" w:type="dxa"/>
        <w:jc w:val="center"/>
        <w:tblInd w:w="0" w:type="dxa"/>
        <w:tblLayout w:type="fixed"/>
        <w:tblCellMar>
          <w:top w:w="28" w:type="dxa"/>
          <w:left w:w="28" w:type="dxa"/>
          <w:bottom w:w="28" w:type="dxa"/>
          <w:right w:w="28" w:type="dxa"/>
        </w:tblCellMar>
      </w:tblPr>
      <w:tblGrid>
        <w:gridCol w:w="124"/>
        <w:gridCol w:w="109"/>
        <w:gridCol w:w="109"/>
        <w:gridCol w:w="395"/>
        <w:gridCol w:w="395"/>
        <w:gridCol w:w="400"/>
        <w:gridCol w:w="862"/>
        <w:gridCol w:w="862"/>
        <w:gridCol w:w="12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I. Goldberg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Chief Executive Officer of Beazer Homes USA, Inc. (the “Company”) hereby certifies that the Report on Form 10-Q of the Company for the period ended March 31, 2026,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pStyle w:val="TextBody"/>
        <w:bidi w:val="0"/>
        <w:spacing w:before="180" w:after="283"/>
        <w:jc w:val="left"/>
        <w:rPr/>
      </w:pPr>
      <w:r>
        <w:rPr/>
      </w:r>
    </w:p>
    <w:tbl>
      <w:tblPr>
        <w:tblW w:w="3549" w:type="dxa"/>
        <w:jc w:val="center"/>
        <w:tblInd w:w="0" w:type="dxa"/>
        <w:tblLayout w:type="fixed"/>
        <w:tblCellMar>
          <w:top w:w="28" w:type="dxa"/>
          <w:left w:w="28" w:type="dxa"/>
          <w:bottom w:w="28" w:type="dxa"/>
          <w:right w:w="28" w:type="dxa"/>
        </w:tblCellMar>
      </w:tblPr>
      <w:tblGrid>
        <w:gridCol w:w="124"/>
        <w:gridCol w:w="109"/>
        <w:gridCol w:w="109"/>
        <w:gridCol w:w="306"/>
        <w:gridCol w:w="306"/>
        <w:gridCol w:w="310"/>
        <w:gridCol w:w="668"/>
        <w:gridCol w:w="668"/>
        <w:gridCol w:w="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Allan P. Merrill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Allan P. Merrill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and Section 1350 of Title 18, United States Code, and is not being filed as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Chief Financial Officer of Beazer Homes USA, Inc. (the “Company”) hereby certifies that the Report on Form 10-Q of the Company for the period ended March 31, 2026,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pStyle w:val="TextBody"/>
        <w:bidi w:val="0"/>
        <w:spacing w:before="180" w:after="283"/>
        <w:jc w:val="left"/>
        <w:rPr/>
      </w:pPr>
      <w:r>
        <w:rPr/>
      </w:r>
    </w:p>
    <w:tbl>
      <w:tblPr>
        <w:tblW w:w="4480" w:type="dxa"/>
        <w:jc w:val="center"/>
        <w:tblInd w:w="0" w:type="dxa"/>
        <w:tblLayout w:type="fixed"/>
        <w:tblCellMar>
          <w:top w:w="28" w:type="dxa"/>
          <w:left w:w="28" w:type="dxa"/>
          <w:bottom w:w="28" w:type="dxa"/>
          <w:right w:w="28" w:type="dxa"/>
        </w:tblCellMar>
      </w:tblPr>
      <w:tblGrid>
        <w:gridCol w:w="124"/>
        <w:gridCol w:w="109"/>
        <w:gridCol w:w="109"/>
        <w:gridCol w:w="395"/>
        <w:gridCol w:w="395"/>
        <w:gridCol w:w="400"/>
        <w:gridCol w:w="862"/>
        <w:gridCol w:w="862"/>
        <w:gridCol w:w="12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I. Goldberg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and Section 1350 of Title 18, United States Code, and is not being filed as part of the report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5840/000091584026000023/exhibit31-certificateofame.htm" TargetMode="External"/><Relationship Id="rId3" Type="http://schemas.openxmlformats.org/officeDocument/2006/relationships/hyperlink" Target="https://www.sec.gov/Archives/edgar/data/915840/000091584026000034/exhibit101-thirdamendmentt.htm" TargetMode="External"/><Relationship Id="rId4" Type="http://schemas.openxmlformats.org/officeDocument/2006/relationships/hyperlink" Target="https://www.sec.gov/Archives/edgar/data/915840/000091584024000028/bzh-33124ex22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24052</Words>
  <Characters>130974</Characters>
  <CharactersWithSpaces>153084</CharactersWithSpaces>
  <Paragraphs>3403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