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4"/>
          <w:szCs w:val="24"/>
          <w:color w:val="auto"/>
        </w:rPr>
      </w:pPr>
    </w:p>
    <w:p>
      <w:pPr>
        <w:spacing w:after="0" w:line="2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 w:lineRule="exact"/>
        <w:rPr>
          <w:sz w:val="24"/>
          <w:szCs w:val="24"/>
          <w:color w:val="auto"/>
        </w:rPr>
      </w:pPr>
    </w:p>
    <w:p>
      <w:pPr>
        <w:ind w:left="286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5" w:lineRule="exact"/>
        <w:rPr>
          <w:sz w:val="24"/>
          <w:szCs w:val="24"/>
          <w:color w:val="auto"/>
        </w:rPr>
      </w:pPr>
    </w:p>
    <w:p>
      <w:pPr>
        <w:ind w:left="286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w:t>
      </w:r>
    </w:p>
    <w:p>
      <w:pPr>
        <w:spacing w:after="0" w:line="16" w:lineRule="exact"/>
        <w:rPr>
          <w:sz w:val="24"/>
          <w:szCs w:val="24"/>
          <w:color w:val="auto"/>
        </w:rPr>
      </w:pPr>
    </w:p>
    <w:p>
      <w:pPr>
        <w:ind w:left="480" w:right="220" w:hanging="441"/>
        <w:spacing w:after="0" w:line="238" w:lineRule="auto"/>
        <w:tabs>
          <w:tab w:leader="none" w:pos="48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QUARTERLY REPORT PURSUANT TO SECTION 13 OR 15 (d) OF THE SECURITIES EXCHANGE ACT OF 1934</w:t>
      </w:r>
    </w:p>
    <w:p>
      <w:pPr>
        <w:spacing w:after="0" w:line="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December 31, 2025</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8" w:lineRule="exact"/>
        <w:rPr>
          <w:sz w:val="24"/>
          <w:szCs w:val="24"/>
          <w:color w:val="auto"/>
        </w:rPr>
      </w:pPr>
    </w:p>
    <w:p>
      <w:pPr>
        <w:ind w:left="480" w:right="200" w:hanging="441"/>
        <w:spacing w:after="0" w:line="238" w:lineRule="auto"/>
        <w:tabs>
          <w:tab w:leader="none" w:pos="48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 (d) OF THE SECURITIES EXCHANGE ACT OF 1934</w:t>
      </w:r>
    </w:p>
    <w:p>
      <w:pPr>
        <w:spacing w:after="0" w:line="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001-12822</w:t>
      </w:r>
    </w:p>
    <w:p>
      <w:pPr>
        <w:spacing w:after="0" w:line="31" w:lineRule="exact"/>
        <w:rPr>
          <w:sz w:val="24"/>
          <w:szCs w:val="24"/>
          <w:color w:val="auto"/>
        </w:rPr>
      </w:pPr>
    </w:p>
    <w:p>
      <w:pPr>
        <w:ind w:left="286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BEAZER HOMES USA, INC.</w:t>
      </w:r>
    </w:p>
    <w:p>
      <w:pPr>
        <w:spacing w:after="0" w:line="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7" w:lineRule="exact"/>
        <w:rPr>
          <w:sz w:val="24"/>
          <w:szCs w:val="24"/>
          <w:color w:val="auto"/>
        </w:rPr>
      </w:pPr>
    </w:p>
    <w:p>
      <w:pPr>
        <w:ind w:left="288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w:t>
      </w:r>
    </w:p>
    <w:p>
      <w:pPr>
        <w:spacing w:after="0" w:line="27" w:lineRule="exact"/>
        <w:rPr>
          <w:sz w:val="24"/>
          <w:szCs w:val="24"/>
          <w:color w:val="auto"/>
        </w:rPr>
      </w:pPr>
    </w:p>
    <w:tbl>
      <w:tblPr>
        <w:tblLayout w:type="fixed"/>
        <w:tblInd w:w="480" w:type="dxa"/>
        <w:tblCellMar>
          <w:top w:w="0" w:type="dxa"/>
          <w:left w:w="0" w:type="dxa"/>
          <w:bottom w:w="0" w:type="dxa"/>
          <w:right w:w="0" w:type="dxa"/>
        </w:tblCellMar>
      </w:tblPr>
      <w:tr>
        <w:trPr>
          <w:trHeight w:val="227"/>
        </w:trPr>
        <w:tc>
          <w:tcPr>
            <w:tcW w:w="5940" w:type="dxa"/>
            <w:vAlign w:val="bottom"/>
          </w:tcPr>
          <w:p>
            <w:pPr>
              <w:jc w:val="center"/>
              <w:ind w:right="142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660" w:type="dxa"/>
            <w:vAlign w:val="bottom"/>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rPr>
              <w:t>58-2086934</w:t>
            </w:r>
          </w:p>
        </w:tc>
      </w:tr>
      <w:tr>
        <w:trPr>
          <w:trHeight w:val="149"/>
        </w:trPr>
        <w:tc>
          <w:tcPr>
            <w:tcW w:w="5940" w:type="dxa"/>
            <w:vAlign w:val="bottom"/>
          </w:tcPr>
          <w:p>
            <w:pPr>
              <w:jc w:val="center"/>
              <w:ind w:right="1421"/>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2660" w:type="dxa"/>
            <w:vAlign w:val="bottom"/>
          </w:tcPr>
          <w:p>
            <w:pPr>
              <w:jc w:val="center"/>
              <w:ind w:left="146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5940" w:type="dxa"/>
            <w:vAlign w:val="bottom"/>
          </w:tcPr>
          <w:p>
            <w:pPr>
              <w:jc w:val="center"/>
              <w:ind w:right="1421"/>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2660" w:type="dxa"/>
            <w:vAlign w:val="bottom"/>
          </w:tcPr>
          <w:p>
            <w:pPr>
              <w:jc w:val="center"/>
              <w:ind w:left="146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63"/>
        </w:trPr>
        <w:tc>
          <w:tcPr>
            <w:tcW w:w="5940" w:type="dxa"/>
            <w:vAlign w:val="bottom"/>
          </w:tcPr>
          <w:p>
            <w:pPr>
              <w:jc w:val="center"/>
              <w:ind w:right="1441"/>
              <w:spacing w:after="0"/>
              <w:rPr>
                <w:sz w:val="20"/>
                <w:szCs w:val="20"/>
                <w:color w:val="auto"/>
              </w:rPr>
            </w:pPr>
            <w:r>
              <w:rPr>
                <w:rFonts w:ascii="Times New Roman" w:cs="Times New Roman" w:eastAsia="Times New Roman" w:hAnsi="Times New Roman"/>
                <w:sz w:val="18"/>
                <w:szCs w:val="18"/>
                <w:b w:val="1"/>
                <w:bCs w:val="1"/>
                <w:color w:val="auto"/>
                <w:w w:val="99"/>
              </w:rPr>
              <w:t>2002 Summit Boulevard NE, 15th Floor, Atlanta, Georgia</w:t>
            </w:r>
          </w:p>
        </w:tc>
        <w:tc>
          <w:tcPr>
            <w:tcW w:w="2660" w:type="dxa"/>
            <w:vAlign w:val="bottom"/>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30319</w:t>
            </w:r>
          </w:p>
        </w:tc>
      </w:tr>
      <w:tr>
        <w:trPr>
          <w:trHeight w:val="190"/>
        </w:trPr>
        <w:tc>
          <w:tcPr>
            <w:tcW w:w="5940" w:type="dxa"/>
            <w:vAlign w:val="bottom"/>
          </w:tcPr>
          <w:p>
            <w:pPr>
              <w:jc w:val="center"/>
              <w:ind w:right="1441"/>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660" w:type="dxa"/>
            <w:vAlign w:val="bottom"/>
          </w:tcPr>
          <w:p>
            <w:pPr>
              <w:jc w:val="center"/>
              <w:ind w:left="146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(770) 829-3700</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107"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260" w:type="dxa"/>
            <w:vAlign w:val="bottom"/>
          </w:tcPr>
          <w:p>
            <w:pPr>
              <w:spacing w:after="0"/>
              <w:rPr>
                <w:sz w:val="20"/>
                <w:szCs w:val="20"/>
                <w:color w:val="auto"/>
              </w:rPr>
            </w:pPr>
          </w:p>
        </w:tc>
        <w:tc>
          <w:tcPr>
            <w:tcW w:w="7980" w:type="dxa"/>
            <w:vAlign w:val="bottom"/>
            <w:gridSpan w:val="2"/>
          </w:tcPr>
          <w:p>
            <w:pPr>
              <w:jc w:val="center"/>
              <w:ind w:right="3170"/>
              <w:spacing w:after="0"/>
              <w:rPr>
                <w:sz w:val="20"/>
                <w:szCs w:val="20"/>
                <w:color w:val="auto"/>
              </w:rPr>
            </w:pPr>
            <w:r>
              <w:rPr>
                <w:rFonts w:ascii="Times New Roman" w:cs="Times New Roman" w:eastAsia="Times New Roman" w:hAnsi="Times New Roman"/>
                <w:sz w:val="18"/>
                <w:szCs w:val="18"/>
                <w:b w:val="1"/>
                <w:bCs w:val="1"/>
                <w:color w:val="auto"/>
                <w:w w:val="99"/>
              </w:rPr>
              <w:t>Securities registered pursuant to Section 12(b) of the Act:</w:t>
            </w:r>
          </w:p>
        </w:tc>
      </w:tr>
      <w:tr>
        <w:trPr>
          <w:trHeight w:val="256"/>
        </w:trPr>
        <w:tc>
          <w:tcPr>
            <w:tcW w:w="3260" w:type="dxa"/>
            <w:vAlign w:val="bottom"/>
            <w:tcBorders>
              <w:bottom w:val="single" w:sz="8" w:color="auto"/>
            </w:tcBorders>
          </w:tcPr>
          <w:p>
            <w:pPr>
              <w:jc w:val="center"/>
              <w:ind w:left="39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3740" w:type="dxa"/>
            <w:vAlign w:val="bottom"/>
            <w:tcBorders>
              <w:bottom w:val="single" w:sz="8" w:color="auto"/>
            </w:tcBorders>
          </w:tcPr>
          <w:p>
            <w:pPr>
              <w:jc w:val="center"/>
              <w:ind w:left="870"/>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4240" w:type="dxa"/>
            <w:vAlign w:val="bottom"/>
            <w:tcBorders>
              <w:bottom w:val="single" w:sz="8" w:color="auto"/>
            </w:tcBorders>
          </w:tcPr>
          <w:p>
            <w:pPr>
              <w:jc w:val="center"/>
              <w:ind w:left="410"/>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3260" w:type="dxa"/>
            <w:vAlign w:val="bottom"/>
          </w:tcPr>
          <w:p>
            <w:pPr>
              <w:jc w:val="center"/>
              <w:ind w:left="390"/>
              <w:spacing w:after="0"/>
              <w:rPr>
                <w:sz w:val="20"/>
                <w:szCs w:val="20"/>
                <w:color w:val="auto"/>
              </w:rPr>
            </w:pPr>
            <w:r>
              <w:rPr>
                <w:rFonts w:ascii="Times New Roman" w:cs="Times New Roman" w:eastAsia="Times New Roman" w:hAnsi="Times New Roman"/>
                <w:sz w:val="18"/>
                <w:szCs w:val="18"/>
                <w:color w:val="auto"/>
                <w:w w:val="99"/>
              </w:rPr>
              <w:t>Common Stock, $0.001 par value</w:t>
            </w:r>
          </w:p>
        </w:tc>
        <w:tc>
          <w:tcPr>
            <w:tcW w:w="3740" w:type="dxa"/>
            <w:vAlign w:val="bottom"/>
          </w:tcPr>
          <w:p>
            <w:pPr>
              <w:jc w:val="center"/>
              <w:ind w:left="890"/>
              <w:spacing w:after="0"/>
              <w:rPr>
                <w:sz w:val="20"/>
                <w:szCs w:val="20"/>
                <w:color w:val="auto"/>
              </w:rPr>
            </w:pPr>
            <w:r>
              <w:rPr>
                <w:rFonts w:ascii="Times New Roman" w:cs="Times New Roman" w:eastAsia="Times New Roman" w:hAnsi="Times New Roman"/>
                <w:sz w:val="18"/>
                <w:szCs w:val="18"/>
                <w:color w:val="auto"/>
                <w:w w:val="99"/>
              </w:rPr>
              <w:t>BZH</w:t>
            </w:r>
          </w:p>
        </w:tc>
        <w:tc>
          <w:tcPr>
            <w:tcW w:w="4240" w:type="dxa"/>
            <w:vAlign w:val="bottom"/>
          </w:tcPr>
          <w:p>
            <w:pPr>
              <w:jc w:val="center"/>
              <w:ind w:left="410"/>
              <w:spacing w:after="0"/>
              <w:rPr>
                <w:sz w:val="20"/>
                <w:szCs w:val="20"/>
                <w:color w:val="auto"/>
              </w:rPr>
            </w:pPr>
            <w:r>
              <w:rPr>
                <w:rFonts w:ascii="Times New Roman" w:cs="Times New Roman" w:eastAsia="Times New Roman" w:hAnsi="Times New Roman"/>
                <w:sz w:val="18"/>
                <w:szCs w:val="18"/>
                <w:color w:val="auto"/>
                <w:w w:val="98"/>
              </w:rPr>
              <w:t>New York Stock Exchange</w:t>
            </w:r>
          </w:p>
        </w:tc>
      </w:tr>
    </w:tbl>
    <w:p>
      <w:pPr>
        <w:spacing w:after="0" w:line="85" w:lineRule="exact"/>
        <w:rPr>
          <w:sz w:val="24"/>
          <w:szCs w:val="24"/>
          <w:color w:val="auto"/>
        </w:rPr>
      </w:pPr>
    </w:p>
    <w:p>
      <w:pPr>
        <w:ind w:left="290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w:t>
      </w:r>
    </w:p>
    <w:p>
      <w:pPr>
        <w:spacing w:after="0" w:line="252" w:lineRule="exact"/>
        <w:rPr>
          <w:sz w:val="24"/>
          <w:szCs w:val="24"/>
          <w:color w:val="auto"/>
        </w:rPr>
      </w:pPr>
    </w:p>
    <w:p>
      <w:pPr>
        <w:ind w:right="22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Sections 13 or 15(d) of the Securities Exchange Act of 1934 during the preceding 12 months (or for such shorter period that the registrant was required to file such reports), and (2) has been subject to the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49" w:lineRule="exact"/>
        <w:rPr>
          <w:sz w:val="24"/>
          <w:szCs w:val="24"/>
          <w:color w:val="auto"/>
        </w:rPr>
      </w:pPr>
    </w:p>
    <w:p>
      <w:pPr>
        <w:ind w:right="360"/>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03" w:lineRule="exact"/>
        <w:rPr>
          <w:sz w:val="24"/>
          <w:szCs w:val="24"/>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Layout w:type="fixed"/>
        <w:tblInd w:w="20" w:type="dxa"/>
        <w:tblCellMar>
          <w:top w:w="0" w:type="dxa"/>
          <w:left w:w="0" w:type="dxa"/>
          <w:bottom w:w="0" w:type="dxa"/>
          <w:right w:w="0" w:type="dxa"/>
        </w:tblCellMar>
      </w:tblPr>
      <w:tr>
        <w:trPr>
          <w:trHeight w:val="181"/>
        </w:trPr>
        <w:tc>
          <w:tcPr>
            <w:tcW w:w="2160" w:type="dxa"/>
            <w:vAlign w:val="bottom"/>
            <w:vMerge w:val="restart"/>
          </w:tcPr>
          <w:p>
            <w:pPr>
              <w:spacing w:after="0" w:line="207" w:lineRule="exact"/>
              <w:rPr>
                <w:sz w:val="20"/>
                <w:szCs w:val="20"/>
                <w:color w:val="auto"/>
              </w:rPr>
            </w:pPr>
            <w:r>
              <w:rPr>
                <w:rFonts w:ascii="Times New Roman" w:cs="Times New Roman" w:eastAsia="Times New Roman" w:hAnsi="Times New Roman"/>
                <w:sz w:val="18"/>
                <w:szCs w:val="18"/>
                <w:color w:val="auto"/>
              </w:rPr>
              <w:t xml:space="preserve">Large accelerated filer </w:t>
            </w:r>
            <w:r>
              <w:rPr>
                <w:rFonts w:ascii="MS PGothic" w:cs="MS PGothic" w:eastAsia="MS PGothic" w:hAnsi="MS PGothic"/>
                <w:sz w:val="18"/>
                <w:szCs w:val="18"/>
                <w:color w:val="auto"/>
              </w:rPr>
              <w:t>☒</w:t>
            </w:r>
          </w:p>
        </w:tc>
        <w:tc>
          <w:tcPr>
            <w:tcW w:w="2100" w:type="dxa"/>
            <w:vAlign w:val="bottom"/>
            <w:vMerge w:val="restart"/>
          </w:tcPr>
          <w:p>
            <w:pPr>
              <w:ind w:left="300"/>
              <w:spacing w:after="0" w:line="207" w:lineRule="exact"/>
              <w:rPr>
                <w:sz w:val="20"/>
                <w:szCs w:val="20"/>
                <w:color w:val="auto"/>
              </w:rPr>
            </w:pPr>
            <w:r>
              <w:rPr>
                <w:rFonts w:ascii="Times New Roman" w:cs="Times New Roman" w:eastAsia="Times New Roman" w:hAnsi="Times New Roman"/>
                <w:sz w:val="18"/>
                <w:szCs w:val="18"/>
                <w:color w:val="auto"/>
              </w:rPr>
              <w:t xml:space="preserve">Accelerated filer   </w:t>
            </w:r>
            <w:r>
              <w:rPr>
                <w:rFonts w:ascii="MS PGothic" w:cs="MS PGothic" w:eastAsia="MS PGothic" w:hAnsi="MS PGothic"/>
                <w:sz w:val="18"/>
                <w:szCs w:val="18"/>
                <w:color w:val="auto"/>
              </w:rPr>
              <w:t>☐</w:t>
            </w:r>
          </w:p>
        </w:tc>
        <w:tc>
          <w:tcPr>
            <w:tcW w:w="2240" w:type="dxa"/>
            <w:vAlign w:val="bottom"/>
            <w:vMerge w:val="restart"/>
          </w:tcPr>
          <w:p>
            <w:pPr>
              <w:ind w:left="180"/>
              <w:spacing w:after="0" w:line="207" w:lineRule="exact"/>
              <w:rPr>
                <w:sz w:val="20"/>
                <w:szCs w:val="20"/>
                <w:color w:val="auto"/>
              </w:rPr>
            </w:pPr>
            <w:r>
              <w:rPr>
                <w:rFonts w:ascii="Times New Roman" w:cs="Times New Roman" w:eastAsia="Times New Roman" w:hAnsi="Times New Roman"/>
                <w:sz w:val="18"/>
                <w:szCs w:val="18"/>
                <w:color w:val="auto"/>
              </w:rPr>
              <w:t xml:space="preserve">Non-accelerated filer  </w:t>
            </w:r>
            <w:r>
              <w:rPr>
                <w:rFonts w:ascii="MS PGothic" w:cs="MS PGothic" w:eastAsia="MS PGothic" w:hAnsi="MS PGothic"/>
                <w:sz w:val="18"/>
                <w:szCs w:val="18"/>
                <w:color w:val="auto"/>
              </w:rPr>
              <w:t>☐</w:t>
            </w:r>
          </w:p>
        </w:tc>
        <w:tc>
          <w:tcPr>
            <w:tcW w:w="1680" w:type="dxa"/>
            <w:vAlign w:val="bottom"/>
          </w:tcPr>
          <w:p>
            <w:pPr>
              <w:ind w:left="180"/>
              <w:spacing w:after="0" w:line="181" w:lineRule="exact"/>
              <w:rPr>
                <w:sz w:val="20"/>
                <w:szCs w:val="20"/>
                <w:color w:val="auto"/>
              </w:rPr>
            </w:pPr>
            <w:r>
              <w:rPr>
                <w:rFonts w:ascii="Times New Roman" w:cs="Times New Roman" w:eastAsia="Times New Roman" w:hAnsi="Times New Roman"/>
                <w:sz w:val="18"/>
                <w:szCs w:val="18"/>
                <w:color w:val="auto"/>
              </w:rPr>
              <w:t>Smaller reporting</w:t>
            </w:r>
          </w:p>
        </w:tc>
        <w:tc>
          <w:tcPr>
            <w:tcW w:w="560" w:type="dxa"/>
            <w:vAlign w:val="bottom"/>
            <w:vMerge w:val="restart"/>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1680" w:type="dxa"/>
            <w:vAlign w:val="bottom"/>
          </w:tcPr>
          <w:p>
            <w:pPr>
              <w:ind w:left="180"/>
              <w:spacing w:after="0" w:line="181" w:lineRule="exact"/>
              <w:rPr>
                <w:sz w:val="20"/>
                <w:szCs w:val="20"/>
                <w:color w:val="auto"/>
              </w:rPr>
            </w:pPr>
            <w:r>
              <w:rPr>
                <w:rFonts w:ascii="Times New Roman" w:cs="Times New Roman" w:eastAsia="Times New Roman" w:hAnsi="Times New Roman"/>
                <w:sz w:val="18"/>
                <w:szCs w:val="18"/>
                <w:color w:val="auto"/>
              </w:rPr>
              <w:t>Emerging growth</w:t>
            </w:r>
          </w:p>
        </w:tc>
        <w:tc>
          <w:tcPr>
            <w:tcW w:w="380" w:type="dxa"/>
            <w:vAlign w:val="bottom"/>
            <w:vMerge w:val="restart"/>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271"/>
        </w:trPr>
        <w:tc>
          <w:tcPr>
            <w:tcW w:w="2160" w:type="dxa"/>
            <w:vAlign w:val="bottom"/>
            <w:vMerge w:val="continue"/>
          </w:tcPr>
          <w:p>
            <w:pPr>
              <w:spacing w:after="0"/>
              <w:rPr>
                <w:sz w:val="23"/>
                <w:szCs w:val="23"/>
                <w:color w:val="auto"/>
              </w:rPr>
            </w:pPr>
          </w:p>
        </w:tc>
        <w:tc>
          <w:tcPr>
            <w:tcW w:w="2100" w:type="dxa"/>
            <w:vAlign w:val="bottom"/>
            <w:vMerge w:val="continue"/>
          </w:tcPr>
          <w:p>
            <w:pPr>
              <w:spacing w:after="0"/>
              <w:rPr>
                <w:sz w:val="23"/>
                <w:szCs w:val="23"/>
                <w:color w:val="auto"/>
              </w:rPr>
            </w:pPr>
          </w:p>
        </w:tc>
        <w:tc>
          <w:tcPr>
            <w:tcW w:w="2240" w:type="dxa"/>
            <w:vAlign w:val="bottom"/>
            <w:vMerge w:val="continue"/>
          </w:tcPr>
          <w:p>
            <w:pPr>
              <w:spacing w:after="0"/>
              <w:rPr>
                <w:sz w:val="23"/>
                <w:szCs w:val="23"/>
                <w:color w:val="auto"/>
              </w:rPr>
            </w:pPr>
          </w:p>
        </w:tc>
        <w:tc>
          <w:tcPr>
            <w:tcW w:w="1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company</w:t>
            </w:r>
          </w:p>
        </w:tc>
        <w:tc>
          <w:tcPr>
            <w:tcW w:w="560" w:type="dxa"/>
            <w:vAlign w:val="bottom"/>
            <w:vMerge w:val="continue"/>
          </w:tcPr>
          <w:p>
            <w:pPr>
              <w:spacing w:after="0"/>
              <w:rPr>
                <w:sz w:val="23"/>
                <w:szCs w:val="23"/>
                <w:color w:val="auto"/>
              </w:rPr>
            </w:pPr>
          </w:p>
        </w:tc>
        <w:tc>
          <w:tcPr>
            <w:tcW w:w="1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company</w:t>
            </w:r>
          </w:p>
        </w:tc>
        <w:tc>
          <w:tcPr>
            <w:tcW w:w="38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bl>
    <w:p>
      <w:pPr>
        <w:spacing w:after="0" w:line="35" w:lineRule="exact"/>
        <w:rPr>
          <w:sz w:val="24"/>
          <w:szCs w:val="24"/>
          <w:color w:val="auto"/>
        </w:rPr>
      </w:pPr>
    </w:p>
    <w:p>
      <w:pPr>
        <w:ind w:left="20" w:right="800"/>
        <w:spacing w:after="0" w:line="21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36" w:lineRule="exact"/>
        <w:rPr>
          <w:sz w:val="24"/>
          <w:szCs w:val="24"/>
          <w:color w:val="auto"/>
        </w:rPr>
      </w:pPr>
    </w:p>
    <w:p>
      <w:pPr>
        <w:ind w:right="1840"/>
        <w:spacing w:after="0" w:line="286"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Number of shares of common stock outstanding as of January 26, 2026: 29,506,806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467995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BEAZER HOMES USA,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080" w:type="dxa"/>
            <w:vAlign w:val="bottom"/>
            <w:gridSpan w:val="11"/>
          </w:tcPr>
          <w:p>
            <w:pPr>
              <w:spacing w:after="0"/>
              <w:rPr>
                <w:sz w:val="20"/>
                <w:szCs w:val="20"/>
                <w:color w:val="auto"/>
              </w:rPr>
            </w:pPr>
            <w:r>
              <w:rPr>
                <w:rFonts w:ascii="Times New Roman" w:cs="Times New Roman" w:eastAsia="Times New Roman" w:hAnsi="Times New Roman"/>
                <w:sz w:val="18"/>
                <w:szCs w:val="18"/>
                <w:b w:val="1"/>
                <w:bCs w:val="1"/>
                <w:color w:val="0000FF"/>
                <w:w w:val="98"/>
              </w:rPr>
              <w:t>PART I. FINANCIAL INFORMATION</w:t>
            </w:r>
          </w:p>
        </w:tc>
        <w:tc>
          <w:tcPr>
            <w:tcW w:w="7940" w:type="dxa"/>
            <w:vAlign w:val="bottom"/>
            <w:gridSpan w:val="8"/>
          </w:tcPr>
          <w:p>
            <w:pPr>
              <w:spacing w:after="0"/>
              <w:rPr>
                <w:sz w:val="17"/>
                <w:szCs w:val="17"/>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0000FF"/>
              </w:rPr>
              <w:t>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3080" w:type="dxa"/>
            <w:vAlign w:val="bottom"/>
            <w:gridSpan w:val="11"/>
          </w:tcPr>
          <w:p>
            <w:pPr>
              <w:spacing w:after="0"/>
              <w:rPr>
                <w:sz w:val="20"/>
                <w:szCs w:val="20"/>
                <w:color w:val="auto"/>
              </w:rPr>
            </w:pPr>
            <w:r>
              <w:rPr>
                <w:rFonts w:ascii="Times New Roman" w:cs="Times New Roman" w:eastAsia="Times New Roman" w:hAnsi="Times New Roman"/>
                <w:sz w:val="18"/>
                <w:szCs w:val="18"/>
                <w:b w:val="1"/>
                <w:bCs w:val="1"/>
                <w:color w:val="0000FF"/>
              </w:rPr>
              <w:t>Item 1. Financial Statements</w:t>
            </w:r>
          </w:p>
        </w:tc>
        <w:tc>
          <w:tcPr>
            <w:tcW w:w="7940" w:type="dxa"/>
            <w:vAlign w:val="bottom"/>
            <w:gridSpan w:val="8"/>
          </w:tcPr>
          <w:p>
            <w:pPr>
              <w:spacing w:after="0"/>
              <w:rPr>
                <w:sz w:val="18"/>
                <w:szCs w:val="18"/>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0000FF"/>
              </w:rPr>
              <w:t>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740" w:type="dxa"/>
            <w:vAlign w:val="bottom"/>
            <w:gridSpan w:val="18"/>
          </w:tcPr>
          <w:p>
            <w:pPr>
              <w:spacing w:after="0"/>
              <w:rPr>
                <w:sz w:val="20"/>
                <w:szCs w:val="20"/>
                <w:color w:val="auto"/>
              </w:rPr>
            </w:pPr>
            <w:r>
              <w:rPr>
                <w:rFonts w:ascii="Times New Roman" w:cs="Times New Roman" w:eastAsia="Times New Roman" w:hAnsi="Times New Roman"/>
                <w:sz w:val="18"/>
                <w:szCs w:val="18"/>
                <w:b w:val="1"/>
                <w:bCs w:val="1"/>
                <w:color w:val="0000FF"/>
              </w:rPr>
              <w:t>Condensed Consolidated Balance Sheets as of December 31, 2025 and September 30, 2025 (Unaudited)</w:t>
            </w: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0000FF"/>
              </w:rPr>
              <w:t>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16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6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b w:val="1"/>
                <w:bCs w:val="1"/>
                <w:color w:val="0000FF"/>
                <w:w w:val="99"/>
              </w:rPr>
              <w:t>Condensed Consolidated Statements of Operations for the three months ended December 31, 2025 and 2024 (Unaudited)</w:t>
            </w:r>
          </w:p>
        </w:tc>
        <w:tc>
          <w:tcPr>
            <w:tcW w:w="740" w:type="dxa"/>
            <w:vAlign w:val="bottom"/>
          </w:tcPr>
          <w:p>
            <w:pPr>
              <w:spacing w:after="0"/>
              <w:rPr>
                <w:sz w:val="22"/>
                <w:szCs w:val="22"/>
                <w:color w:val="auto"/>
              </w:rPr>
            </w:pPr>
          </w:p>
        </w:tc>
        <w:tc>
          <w:tcPr>
            <w:tcW w:w="740" w:type="dxa"/>
            <w:vAlign w:val="bottom"/>
            <w:vMerge w:val="restart"/>
          </w:tcPr>
          <w:p>
            <w:pPr>
              <w:spacing w:after="0"/>
              <w:rPr>
                <w:sz w:val="22"/>
                <w:szCs w:val="22"/>
                <w:color w:val="auto"/>
              </w:rPr>
            </w:pPr>
          </w:p>
        </w:tc>
        <w:tc>
          <w:tcPr>
            <w:tcW w:w="200" w:type="dxa"/>
            <w:vAlign w:val="bottom"/>
            <w:gridSpan w:val="3"/>
            <w:vMerge w:val="restart"/>
          </w:tcPr>
          <w:p>
            <w:pPr>
              <w:jc w:val="right"/>
              <w:ind w:right="20"/>
              <w:spacing w:after="0"/>
              <w:rPr>
                <w:sz w:val="20"/>
                <w:szCs w:val="20"/>
                <w:color w:val="auto"/>
              </w:rPr>
            </w:pPr>
            <w:r>
              <w:rPr>
                <w:rFonts w:ascii="Times New Roman" w:cs="Times New Roman" w:eastAsia="Times New Roman" w:hAnsi="Times New Roman"/>
                <w:sz w:val="18"/>
                <w:szCs w:val="18"/>
                <w:b w:val="1"/>
                <w:bCs w:val="1"/>
                <w:color w:val="0000FF"/>
              </w:rPr>
              <w:t>3</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0" w:type="dxa"/>
            <w:vAlign w:val="bottom"/>
            <w:gridSpan w:val="17"/>
            <w:vMerge w:val="restart"/>
          </w:tcPr>
          <w:p>
            <w:pPr>
              <w:spacing w:after="0"/>
              <w:rPr>
                <w:sz w:val="20"/>
                <w:szCs w:val="20"/>
                <w:color w:val="auto"/>
              </w:rPr>
            </w:pPr>
            <w:r>
              <w:rPr>
                <w:rFonts w:ascii="Times New Roman" w:cs="Times New Roman" w:eastAsia="Times New Roman" w:hAnsi="Times New Roman"/>
                <w:sz w:val="18"/>
                <w:szCs w:val="18"/>
                <w:b w:val="1"/>
                <w:bCs w:val="1"/>
                <w:color w:val="0000FF"/>
                <w:w w:val="99"/>
              </w:rPr>
              <w:t>Condensed Consolidated Statements of Stockholders' Equity for the three months ended December 31, 2025 and 2024 (Unaudited)</w:t>
            </w:r>
          </w:p>
        </w:tc>
        <w:tc>
          <w:tcPr>
            <w:tcW w:w="740" w:type="dxa"/>
            <w:vAlign w:val="bottom"/>
            <w:vMerge w:val="continue"/>
          </w:tcPr>
          <w:p>
            <w:pPr>
              <w:spacing w:after="0"/>
              <w:rPr>
                <w:sz w:val="2"/>
                <w:szCs w:val="2"/>
                <w:color w:val="auto"/>
              </w:rPr>
            </w:pPr>
          </w:p>
        </w:tc>
        <w:tc>
          <w:tcPr>
            <w:tcW w:w="200" w:type="dxa"/>
            <w:vAlign w:val="bottom"/>
            <w:gridSpan w:val="3"/>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0" w:type="dxa"/>
            <w:vAlign w:val="bottom"/>
            <w:gridSpan w:val="17"/>
            <w:vMerge w:val="continu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8"/>
        </w:trPr>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00" w:type="dxa"/>
            <w:vAlign w:val="bottom"/>
            <w:tcBorders>
              <w:bottom w:val="single" w:sz="8" w:color="0000FF"/>
            </w:tcBorders>
            <w:gridSpan w:val="17"/>
            <w:vMerge w:val="continue"/>
          </w:tcPr>
          <w:p>
            <w:pPr>
              <w:spacing w:after="0"/>
              <w:rPr>
                <w:sz w:val="22"/>
                <w:szCs w:val="22"/>
                <w:color w:val="auto"/>
              </w:rPr>
            </w:pPr>
          </w:p>
        </w:tc>
        <w:tc>
          <w:tcPr>
            <w:tcW w:w="740" w:type="dxa"/>
            <w:vAlign w:val="bottom"/>
            <w:vMerge w:val="restart"/>
          </w:tcPr>
          <w:p>
            <w:pPr>
              <w:spacing w:after="0"/>
              <w:rPr>
                <w:sz w:val="22"/>
                <w:szCs w:val="22"/>
                <w:color w:val="auto"/>
              </w:rPr>
            </w:pPr>
          </w:p>
        </w:tc>
        <w:tc>
          <w:tcPr>
            <w:tcW w:w="200" w:type="dxa"/>
            <w:vAlign w:val="bottom"/>
            <w:gridSpan w:val="3"/>
            <w:vMerge w:val="restart"/>
          </w:tcPr>
          <w:p>
            <w:pPr>
              <w:jc w:val="right"/>
              <w:ind w:right="20"/>
              <w:spacing w:after="0"/>
              <w:rPr>
                <w:sz w:val="20"/>
                <w:szCs w:val="20"/>
                <w:color w:val="auto"/>
              </w:rPr>
            </w:pPr>
            <w:r>
              <w:rPr>
                <w:rFonts w:ascii="Times New Roman" w:cs="Times New Roman" w:eastAsia="Times New Roman" w:hAnsi="Times New Roman"/>
                <w:sz w:val="18"/>
                <w:szCs w:val="18"/>
                <w:b w:val="1"/>
                <w:bCs w:val="1"/>
                <w:color w:val="0000FF"/>
              </w:rPr>
              <w:t>4</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46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740" w:type="dxa"/>
            <w:vAlign w:val="bottom"/>
            <w:gridSpan w:val="2"/>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2120" w:type="dxa"/>
            <w:vAlign w:val="bottom"/>
            <w:gridSpan w:val="2"/>
          </w:tcPr>
          <w:p>
            <w:pPr>
              <w:spacing w:after="0"/>
              <w:rPr>
                <w:sz w:val="2"/>
                <w:szCs w:val="2"/>
                <w:color w:val="auto"/>
              </w:rPr>
            </w:pPr>
          </w:p>
        </w:tc>
        <w:tc>
          <w:tcPr>
            <w:tcW w:w="740" w:type="dxa"/>
            <w:vAlign w:val="bottom"/>
          </w:tcPr>
          <w:p>
            <w:pPr>
              <w:spacing w:after="0"/>
              <w:rPr>
                <w:sz w:val="2"/>
                <w:szCs w:val="2"/>
                <w:color w:val="auto"/>
              </w:rPr>
            </w:pPr>
          </w:p>
        </w:tc>
        <w:tc>
          <w:tcPr>
            <w:tcW w:w="740" w:type="dxa"/>
            <w:vAlign w:val="bottom"/>
            <w:vMerge w:val="continue"/>
          </w:tcPr>
          <w:p>
            <w:pPr>
              <w:spacing w:after="0"/>
              <w:rPr>
                <w:sz w:val="2"/>
                <w:szCs w:val="2"/>
                <w:color w:val="auto"/>
              </w:rPr>
            </w:pPr>
          </w:p>
        </w:tc>
        <w:tc>
          <w:tcPr>
            <w:tcW w:w="200" w:type="dxa"/>
            <w:vAlign w:val="bottom"/>
            <w:gridSpan w:val="3"/>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740" w:type="dxa"/>
            <w:vAlign w:val="bottom"/>
            <w:gridSpan w:val="18"/>
          </w:tcPr>
          <w:p>
            <w:pPr>
              <w:spacing w:after="0"/>
              <w:rPr>
                <w:sz w:val="20"/>
                <w:szCs w:val="20"/>
                <w:color w:val="auto"/>
              </w:rPr>
            </w:pPr>
            <w:r>
              <w:rPr>
                <w:rFonts w:ascii="Times New Roman" w:cs="Times New Roman" w:eastAsia="Times New Roman" w:hAnsi="Times New Roman"/>
                <w:sz w:val="18"/>
                <w:szCs w:val="18"/>
                <w:b w:val="1"/>
                <w:bCs w:val="1"/>
                <w:color w:val="0000FF"/>
              </w:rPr>
              <w:t>Condensed Consolidated Statements of Cash Flows for the three months ended December 31, 2025 and 2024 (Unaudited)</w:t>
            </w: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0000FF"/>
              </w:rPr>
              <w:t>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16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40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60" w:type="dxa"/>
            <w:vAlign w:val="bottom"/>
            <w:gridSpan w:val="16"/>
          </w:tcPr>
          <w:p>
            <w:pPr>
              <w:spacing w:after="0"/>
              <w:rPr>
                <w:sz w:val="20"/>
                <w:szCs w:val="20"/>
                <w:color w:val="auto"/>
              </w:rPr>
            </w:pPr>
            <w:r>
              <w:rPr>
                <w:rFonts w:ascii="Times New Roman" w:cs="Times New Roman" w:eastAsia="Times New Roman" w:hAnsi="Times New Roman"/>
                <w:sz w:val="18"/>
                <w:szCs w:val="18"/>
                <w:b w:val="1"/>
                <w:bCs w:val="1"/>
                <w:color w:val="0000FF"/>
              </w:rPr>
              <w:t>Notes to Condensed Consolidated Financial Statements</w:t>
            </w:r>
          </w:p>
        </w:tc>
        <w:tc>
          <w:tcPr>
            <w:tcW w:w="1480" w:type="dxa"/>
            <w:vAlign w:val="bottom"/>
            <w:gridSpan w:val="2"/>
          </w:tcPr>
          <w:p>
            <w:pPr>
              <w:spacing w:after="0"/>
              <w:rPr>
                <w:sz w:val="18"/>
                <w:szCs w:val="18"/>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0000FF"/>
              </w:rPr>
              <w:t>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740" w:type="dxa"/>
            <w:vAlign w:val="bottom"/>
            <w:gridSpan w:val="2"/>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360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1020" w:type="dxa"/>
            <w:vAlign w:val="bottom"/>
            <w:gridSpan w:val="19"/>
          </w:tcPr>
          <w:p>
            <w:pPr>
              <w:spacing w:after="0"/>
              <w:rPr>
                <w:sz w:val="20"/>
                <w:szCs w:val="20"/>
                <w:color w:val="auto"/>
              </w:rPr>
            </w:pPr>
            <w:r>
              <w:rPr>
                <w:rFonts w:ascii="Times New Roman" w:cs="Times New Roman" w:eastAsia="Times New Roman" w:hAnsi="Times New Roman"/>
                <w:sz w:val="18"/>
                <w:szCs w:val="18"/>
                <w:b w:val="1"/>
                <w:bCs w:val="1"/>
                <w:color w:val="0000FF"/>
              </w:rPr>
              <w:t>Item 2. Management’s Discussion and Analysis of Financial Condition and Results of Operations</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0000FF"/>
                <w:w w:val="88"/>
              </w:rPr>
              <w:t>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260" w:type="dxa"/>
            <w:vAlign w:val="bottom"/>
            <w:tcBorders>
              <w:top w:val="single" w:sz="8" w:color="0000FF"/>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b w:val="1"/>
                <w:bCs w:val="1"/>
                <w:color w:val="0000FF"/>
                <w:w w:val="99"/>
              </w:rPr>
              <w:t>Item 3. Quantitative and Qualitative Disclosures About Market Risk</w:t>
            </w:r>
          </w:p>
        </w:tc>
        <w:tc>
          <w:tcPr>
            <w:tcW w:w="2160" w:type="dxa"/>
            <w:vAlign w:val="bottom"/>
            <w:tcBorders>
              <w:top w:val="single" w:sz="8" w:color="0000FF"/>
            </w:tcBorders>
          </w:tcPr>
          <w:p>
            <w:pPr>
              <w:spacing w:after="0"/>
              <w:rPr>
                <w:sz w:val="18"/>
                <w:szCs w:val="18"/>
                <w:color w:val="auto"/>
              </w:rPr>
            </w:pPr>
          </w:p>
        </w:tc>
        <w:tc>
          <w:tcPr>
            <w:tcW w:w="3600" w:type="dxa"/>
            <w:vAlign w:val="bottom"/>
            <w:gridSpan w:val="4"/>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0000FF"/>
                <w:w w:val="88"/>
              </w:rPr>
              <w:t>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50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b w:val="1"/>
                <w:bCs w:val="1"/>
                <w:color w:val="0000FF"/>
                <w:w w:val="98"/>
              </w:rPr>
              <w:t>Item 4. Controls and Procedures</w:t>
            </w:r>
          </w:p>
        </w:tc>
        <w:tc>
          <w:tcPr>
            <w:tcW w:w="8520" w:type="dxa"/>
            <w:vAlign w:val="bottom"/>
            <w:gridSpan w:val="10"/>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0000FF"/>
                <w:w w:val="88"/>
              </w:rPr>
              <w:t>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9"/>
        </w:trPr>
        <w:tc>
          <w:tcPr>
            <w:tcW w:w="20" w:type="dxa"/>
            <w:vAlign w:val="bottom"/>
          </w:tcPr>
          <w:p>
            <w:pPr>
              <w:spacing w:after="0"/>
              <w:rPr>
                <w:sz w:val="24"/>
                <w:szCs w:val="24"/>
                <w:color w:val="auto"/>
              </w:rPr>
            </w:pPr>
          </w:p>
        </w:tc>
        <w:tc>
          <w:tcPr>
            <w:tcW w:w="278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b w:val="1"/>
                <w:bCs w:val="1"/>
                <w:color w:val="0000FF"/>
                <w:w w:val="98"/>
              </w:rPr>
              <w:t>PART II. OTHER INFORMATION</w:t>
            </w:r>
          </w:p>
        </w:tc>
        <w:tc>
          <w:tcPr>
            <w:tcW w:w="8240" w:type="dxa"/>
            <w:vAlign w:val="bottom"/>
            <w:gridSpan w:val="9"/>
          </w:tcPr>
          <w:p>
            <w:pPr>
              <w:spacing w:after="0"/>
              <w:rPr>
                <w:sz w:val="24"/>
                <w:szCs w:val="24"/>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0000FF"/>
                <w:w w:val="88"/>
              </w:rPr>
              <w:t>38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6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b w:val="1"/>
                <w:bCs w:val="1"/>
                <w:color w:val="0000FF"/>
                <w:w w:val="99"/>
              </w:rPr>
              <w:t>Item 1.</w:t>
            </w:r>
          </w:p>
        </w:tc>
        <w:tc>
          <w:tcPr>
            <w:tcW w:w="1440" w:type="dxa"/>
            <w:vAlign w:val="bottom"/>
            <w:tcBorders>
              <w:bottom w:val="single" w:sz="8" w:color="0000FF"/>
            </w:tcBorders>
            <w:gridSpan w:val="4"/>
          </w:tcPr>
          <w:p>
            <w:pPr>
              <w:ind w:left="40"/>
              <w:spacing w:after="0"/>
              <w:rPr>
                <w:sz w:val="20"/>
                <w:szCs w:val="20"/>
                <w:color w:val="auto"/>
              </w:rPr>
            </w:pPr>
            <w:r>
              <w:rPr>
                <w:rFonts w:ascii="Times New Roman" w:cs="Times New Roman" w:eastAsia="Times New Roman" w:hAnsi="Times New Roman"/>
                <w:sz w:val="18"/>
                <w:szCs w:val="18"/>
                <w:b w:val="1"/>
                <w:bCs w:val="1"/>
                <w:color w:val="0000FF"/>
                <w:w w:val="98"/>
              </w:rPr>
              <w:t>Legal Proceedings</w:t>
            </w:r>
          </w:p>
        </w:tc>
        <w:tc>
          <w:tcPr>
            <w:tcW w:w="9020" w:type="dxa"/>
            <w:vAlign w:val="bottom"/>
            <w:gridSpan w:val="13"/>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0000FF"/>
                <w:w w:val="88"/>
              </w:rPr>
              <w:t>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70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b w:val="1"/>
                <w:bCs w:val="1"/>
                <w:color w:val="0000FF"/>
                <w:w w:val="99"/>
              </w:rPr>
              <w:t>Item 1A. Risk Factors</w:t>
            </w:r>
          </w:p>
        </w:tc>
        <w:tc>
          <w:tcPr>
            <w:tcW w:w="9320" w:type="dxa"/>
            <w:vAlign w:val="bottom"/>
            <w:gridSpan w:val="14"/>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0000FF"/>
                <w:w w:val="88"/>
              </w:rPr>
              <w:t>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6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b w:val="1"/>
                <w:bCs w:val="1"/>
                <w:color w:val="0000FF"/>
                <w:w w:val="99"/>
              </w:rPr>
              <w:t>Item 2.</w:t>
            </w:r>
          </w:p>
        </w:tc>
        <w:tc>
          <w:tcPr>
            <w:tcW w:w="4600" w:type="dxa"/>
            <w:vAlign w:val="bottom"/>
            <w:tcBorders>
              <w:bottom w:val="single" w:sz="8" w:color="0000FF"/>
            </w:tcBorders>
            <w:gridSpan w:val="11"/>
          </w:tcPr>
          <w:p>
            <w:pPr>
              <w:ind w:left="40"/>
              <w:spacing w:after="0"/>
              <w:rPr>
                <w:sz w:val="20"/>
                <w:szCs w:val="20"/>
                <w:color w:val="auto"/>
              </w:rPr>
            </w:pPr>
            <w:r>
              <w:rPr>
                <w:rFonts w:ascii="Times New Roman" w:cs="Times New Roman" w:eastAsia="Times New Roman" w:hAnsi="Times New Roman"/>
                <w:sz w:val="18"/>
                <w:szCs w:val="18"/>
                <w:b w:val="1"/>
                <w:bCs w:val="1"/>
                <w:color w:val="0000FF"/>
                <w:w w:val="99"/>
              </w:rPr>
              <w:t>Unregistered Sales of Equity Securities and Use of Proceeds</w:t>
            </w:r>
          </w:p>
        </w:tc>
        <w:tc>
          <w:tcPr>
            <w:tcW w:w="5860" w:type="dxa"/>
            <w:vAlign w:val="bottom"/>
            <w:gridSpan w:val="6"/>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0000FF"/>
                <w:w w:val="88"/>
              </w:rPr>
              <w:t>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6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b w:val="1"/>
                <w:bCs w:val="1"/>
                <w:color w:val="0000FF"/>
                <w:w w:val="99"/>
              </w:rPr>
              <w:t>Item 5.</w:t>
            </w:r>
          </w:p>
        </w:tc>
        <w:tc>
          <w:tcPr>
            <w:tcW w:w="1480" w:type="dxa"/>
            <w:vAlign w:val="bottom"/>
            <w:tcBorders>
              <w:bottom w:val="single" w:sz="8" w:color="0000FF"/>
            </w:tcBorders>
            <w:gridSpan w:val="5"/>
          </w:tcPr>
          <w:p>
            <w:pPr>
              <w:ind w:left="40"/>
              <w:spacing w:after="0"/>
              <w:rPr>
                <w:sz w:val="20"/>
                <w:szCs w:val="20"/>
                <w:color w:val="auto"/>
              </w:rPr>
            </w:pPr>
            <w:r>
              <w:rPr>
                <w:rFonts w:ascii="Times New Roman" w:cs="Times New Roman" w:eastAsia="Times New Roman" w:hAnsi="Times New Roman"/>
                <w:sz w:val="18"/>
                <w:szCs w:val="18"/>
                <w:b w:val="1"/>
                <w:bCs w:val="1"/>
                <w:color w:val="0000FF"/>
                <w:w w:val="98"/>
              </w:rPr>
              <w:t>Other Information</w:t>
            </w:r>
          </w:p>
        </w:tc>
        <w:tc>
          <w:tcPr>
            <w:tcW w:w="8980" w:type="dxa"/>
            <w:vAlign w:val="bottom"/>
            <w:gridSpan w:val="12"/>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0000FF"/>
                <w:w w:val="88"/>
              </w:rPr>
              <w:t>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b w:val="1"/>
                <w:bCs w:val="1"/>
                <w:color w:val="0000FF"/>
                <w:w w:val="99"/>
              </w:rPr>
              <w:t>Item 6.</w:t>
            </w:r>
          </w:p>
        </w:tc>
        <w:tc>
          <w:tcPr>
            <w:tcW w:w="680" w:type="dxa"/>
            <w:vAlign w:val="bottom"/>
            <w:tcBorders>
              <w:bottom w:val="single" w:sz="8" w:color="0000FF"/>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0000FF"/>
                <w:w w:val="96"/>
              </w:rPr>
              <w:t>Exhibits</w:t>
            </w:r>
          </w:p>
        </w:tc>
        <w:tc>
          <w:tcPr>
            <w:tcW w:w="9780" w:type="dxa"/>
            <w:vAlign w:val="bottom"/>
            <w:gridSpan w:val="15"/>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0000FF"/>
                <w:w w:val="88"/>
              </w:rPr>
              <w:t>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9"/>
        </w:trPr>
        <w:tc>
          <w:tcPr>
            <w:tcW w:w="20" w:type="dxa"/>
            <w:vAlign w:val="bottom"/>
          </w:tcPr>
          <w:p>
            <w:pPr>
              <w:spacing w:after="0"/>
              <w:rPr>
                <w:sz w:val="24"/>
                <w:szCs w:val="24"/>
                <w:color w:val="auto"/>
              </w:rPr>
            </w:pPr>
          </w:p>
        </w:tc>
        <w:tc>
          <w:tcPr>
            <w:tcW w:w="11020" w:type="dxa"/>
            <w:vAlign w:val="bottom"/>
            <w:gridSpan w:val="19"/>
          </w:tcPr>
          <w:p>
            <w:pPr>
              <w:spacing w:after="0"/>
              <w:rPr>
                <w:sz w:val="20"/>
                <w:szCs w:val="20"/>
                <w:color w:val="auto"/>
              </w:rPr>
            </w:pPr>
            <w:r>
              <w:rPr>
                <w:rFonts w:ascii="Times New Roman" w:cs="Times New Roman" w:eastAsia="Times New Roman" w:hAnsi="Times New Roman"/>
                <w:sz w:val="18"/>
                <w:szCs w:val="18"/>
                <w:b w:val="1"/>
                <w:bCs w:val="1"/>
                <w:color w:val="0000FF"/>
              </w:rPr>
              <w:t>SIGNATURES</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0000FF"/>
                <w:w w:val="88"/>
              </w:rPr>
              <w:t>41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5"/>
        </w:trPr>
        <w:tc>
          <w:tcPr>
            <w:tcW w:w="20" w:type="dxa"/>
            <w:vAlign w:val="bottom"/>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600" w:type="dxa"/>
            <w:vAlign w:val="bottom"/>
            <w:tcBorders>
              <w:top w:val="single" w:sz="8" w:color="0000FF"/>
            </w:tcBorders>
          </w:tcPr>
          <w:p>
            <w:pPr>
              <w:spacing w:after="0"/>
              <w:rPr>
                <w:sz w:val="24"/>
                <w:szCs w:val="24"/>
                <w:color w:val="auto"/>
              </w:rPr>
            </w:pPr>
          </w:p>
        </w:tc>
        <w:tc>
          <w:tcPr>
            <w:tcW w:w="6260" w:type="dxa"/>
            <w:vAlign w:val="bottom"/>
            <w:gridSpan w:val="12"/>
          </w:tcPr>
          <w:p>
            <w:pPr>
              <w:jc w:val="right"/>
              <w:ind w:right="1780"/>
              <w:spacing w:after="0"/>
              <w:rPr>
                <w:sz w:val="20"/>
                <w:szCs w:val="20"/>
                <w:color w:val="auto"/>
              </w:rPr>
            </w:pPr>
            <w:r>
              <w:rPr>
                <w:rFonts w:ascii="Times New Roman" w:cs="Times New Roman" w:eastAsia="Times New Roman" w:hAnsi="Times New Roman"/>
                <w:sz w:val="14"/>
                <w:szCs w:val="14"/>
                <w:color w:val="auto"/>
              </w:rPr>
              <w:t>1</w:t>
            </w:r>
          </w:p>
        </w:tc>
        <w:tc>
          <w:tcPr>
            <w:tcW w:w="7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5"/>
        </w:trPr>
        <w:tc>
          <w:tcPr>
            <w:tcW w:w="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16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BEAZER HOMES USA,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20"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80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share and per share data)</w:t>
            </w:r>
          </w:p>
        </w:tc>
        <w:tc>
          <w:tcPr>
            <w:tcW w:w="220" w:type="dxa"/>
            <w:vAlign w:val="bottom"/>
          </w:tcPr>
          <w:p>
            <w:pPr>
              <w:spacing w:after="0"/>
              <w:rPr>
                <w:sz w:val="13"/>
                <w:szCs w:val="13"/>
                <w:color w:val="auto"/>
              </w:rPr>
            </w:pPr>
          </w:p>
        </w:tc>
        <w:tc>
          <w:tcPr>
            <w:tcW w:w="14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40" w:type="dxa"/>
            <w:vAlign w:val="bottom"/>
          </w:tcPr>
          <w:p>
            <w:pPr>
              <w:spacing w:after="0"/>
              <w:rPr>
                <w:sz w:val="13"/>
                <w:szCs w:val="13"/>
                <w:color w:val="auto"/>
              </w:rPr>
            </w:pPr>
          </w:p>
        </w:tc>
        <w:tc>
          <w:tcPr>
            <w:tcW w:w="1360" w:type="dxa"/>
            <w:vAlign w:val="bottom"/>
            <w:vMerge w:val="restart"/>
          </w:tcPr>
          <w:p>
            <w:pPr>
              <w:jc w:val="right"/>
              <w:ind w:right="91"/>
              <w:spacing w:after="0"/>
              <w:rPr>
                <w:sz w:val="20"/>
                <w:szCs w:val="20"/>
                <w:color w:val="auto"/>
              </w:rPr>
            </w:pPr>
            <w:r>
              <w:rPr>
                <w:rFonts w:ascii="Times New Roman" w:cs="Times New Roman" w:eastAsia="Times New Roman" w:hAnsi="Times New Roman"/>
                <w:sz w:val="14"/>
                <w:szCs w:val="14"/>
                <w:color w:val="auto"/>
              </w:rPr>
              <w:t>September 30, 2025</w:t>
            </w:r>
          </w:p>
        </w:tc>
        <w:tc>
          <w:tcPr>
            <w:tcW w:w="0" w:type="dxa"/>
            <w:vAlign w:val="bottom"/>
          </w:tcPr>
          <w:p>
            <w:pPr>
              <w:spacing w:after="0"/>
              <w:rPr>
                <w:sz w:val="1"/>
                <w:szCs w:val="1"/>
                <w:color w:val="auto"/>
              </w:rPr>
            </w:pPr>
          </w:p>
        </w:tc>
      </w:tr>
      <w:tr>
        <w:trPr>
          <w:trHeight w:val="195"/>
        </w:trPr>
        <w:tc>
          <w:tcPr>
            <w:tcW w:w="808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120,757</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214,705</w:t>
            </w:r>
          </w:p>
        </w:tc>
        <w:tc>
          <w:tcPr>
            <w:tcW w:w="0" w:type="dxa"/>
            <w:vAlign w:val="bottom"/>
          </w:tcPr>
          <w:p>
            <w:pPr>
              <w:spacing w:after="0"/>
              <w:rPr>
                <w:sz w:val="1"/>
                <w:szCs w:val="1"/>
                <w:color w:val="auto"/>
              </w:rPr>
            </w:pPr>
          </w:p>
        </w:tc>
      </w:tr>
      <w:tr>
        <w:trPr>
          <w:trHeight w:val="230"/>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3,592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3,866</w:t>
            </w:r>
          </w:p>
        </w:tc>
        <w:tc>
          <w:tcPr>
            <w:tcW w:w="0" w:type="dxa"/>
            <w:vAlign w:val="bottom"/>
          </w:tcPr>
          <w:p>
            <w:pPr>
              <w:spacing w:after="0"/>
              <w:rPr>
                <w:sz w:val="1"/>
                <w:szCs w:val="1"/>
                <w:color w:val="auto"/>
              </w:rPr>
            </w:pPr>
          </w:p>
        </w:tc>
      </w:tr>
      <w:tr>
        <w:trPr>
          <w:trHeight w:val="229"/>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receivable (net of allowance of $266 and $266, respectively)</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92,759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78,145</w:t>
            </w:r>
          </w:p>
        </w:tc>
        <w:tc>
          <w:tcPr>
            <w:tcW w:w="0" w:type="dxa"/>
            <w:vAlign w:val="bottom"/>
          </w:tcPr>
          <w:p>
            <w:pPr>
              <w:spacing w:after="0"/>
              <w:rPr>
                <w:sz w:val="1"/>
                <w:szCs w:val="1"/>
                <w:color w:val="auto"/>
              </w:rPr>
            </w:pPr>
          </w:p>
        </w:tc>
      </w:tr>
      <w:tr>
        <w:trPr>
          <w:trHeight w:val="229"/>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Inventory</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2,140,766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2,029,433</w:t>
            </w:r>
          </w:p>
        </w:tc>
        <w:tc>
          <w:tcPr>
            <w:tcW w:w="0" w:type="dxa"/>
            <w:vAlign w:val="bottom"/>
          </w:tcPr>
          <w:p>
            <w:pPr>
              <w:spacing w:after="0"/>
              <w:rPr>
                <w:sz w:val="1"/>
                <w:szCs w:val="1"/>
                <w:color w:val="auto"/>
              </w:rPr>
            </w:pPr>
          </w:p>
        </w:tc>
      </w:tr>
      <w:tr>
        <w:trPr>
          <w:trHeight w:val="230"/>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assets, net</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141,953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142,647</w:t>
            </w:r>
          </w:p>
        </w:tc>
        <w:tc>
          <w:tcPr>
            <w:tcW w:w="0" w:type="dxa"/>
            <w:vAlign w:val="bottom"/>
          </w:tcPr>
          <w:p>
            <w:pPr>
              <w:spacing w:after="0"/>
              <w:rPr>
                <w:sz w:val="1"/>
                <w:szCs w:val="1"/>
                <w:color w:val="auto"/>
              </w:rPr>
            </w:pPr>
          </w:p>
        </w:tc>
      </w:tr>
      <w:tr>
        <w:trPr>
          <w:trHeight w:val="229"/>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49,461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47,945</w:t>
            </w:r>
          </w:p>
        </w:tc>
        <w:tc>
          <w:tcPr>
            <w:tcW w:w="0" w:type="dxa"/>
            <w:vAlign w:val="bottom"/>
          </w:tcPr>
          <w:p>
            <w:pPr>
              <w:spacing w:after="0"/>
              <w:rPr>
                <w:sz w:val="1"/>
                <w:szCs w:val="1"/>
                <w:color w:val="auto"/>
              </w:rPr>
            </w:pPr>
          </w:p>
        </w:tc>
      </w:tr>
      <w:tr>
        <w:trPr>
          <w:trHeight w:val="229"/>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33,100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34,987</w:t>
            </w:r>
          </w:p>
        </w:tc>
        <w:tc>
          <w:tcPr>
            <w:tcW w:w="0" w:type="dxa"/>
            <w:vAlign w:val="bottom"/>
          </w:tcPr>
          <w:p>
            <w:pPr>
              <w:spacing w:after="0"/>
              <w:rPr>
                <w:sz w:val="1"/>
                <w:szCs w:val="1"/>
                <w:color w:val="auto"/>
              </w:rPr>
            </w:pPr>
          </w:p>
        </w:tc>
      </w:tr>
      <w:tr>
        <w:trPr>
          <w:trHeight w:val="230"/>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11,376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11,376</w:t>
            </w:r>
          </w:p>
        </w:tc>
        <w:tc>
          <w:tcPr>
            <w:tcW w:w="0" w:type="dxa"/>
            <w:vAlign w:val="bottom"/>
          </w:tcPr>
          <w:p>
            <w:pPr>
              <w:spacing w:after="0"/>
              <w:rPr>
                <w:sz w:val="1"/>
                <w:szCs w:val="1"/>
                <w:color w:val="auto"/>
              </w:rPr>
            </w:pPr>
          </w:p>
        </w:tc>
      </w:tr>
      <w:tr>
        <w:trPr>
          <w:trHeight w:val="229"/>
        </w:trPr>
        <w:tc>
          <w:tcPr>
            <w:tcW w:w="8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45,949</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46,604</w:t>
            </w:r>
          </w:p>
        </w:tc>
        <w:tc>
          <w:tcPr>
            <w:tcW w:w="0" w:type="dxa"/>
            <w:vAlign w:val="bottom"/>
          </w:tcPr>
          <w:p>
            <w:pPr>
              <w:spacing w:after="0"/>
              <w:rPr>
                <w:sz w:val="1"/>
                <w:szCs w:val="1"/>
                <w:color w:val="auto"/>
              </w:rPr>
            </w:pPr>
          </w:p>
        </w:tc>
      </w:tr>
      <w:tr>
        <w:trPr>
          <w:trHeight w:val="248"/>
        </w:trPr>
        <w:tc>
          <w:tcPr>
            <w:tcW w:w="808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Total assets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2,639,713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2,609,708</w:t>
            </w:r>
          </w:p>
        </w:tc>
        <w:tc>
          <w:tcPr>
            <w:tcW w:w="0" w:type="dxa"/>
            <w:vAlign w:val="bottom"/>
          </w:tcPr>
          <w:p>
            <w:pPr>
              <w:spacing w:after="0"/>
              <w:rPr>
                <w:sz w:val="1"/>
                <w:szCs w:val="1"/>
                <w:color w:val="auto"/>
              </w:rPr>
            </w:pPr>
          </w:p>
        </w:tc>
      </w:tr>
      <w:tr>
        <w:trPr>
          <w:trHeight w:val="20"/>
        </w:trPr>
        <w:tc>
          <w:tcPr>
            <w:tcW w:w="80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08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accounts payable</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120,149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143,481</w:t>
            </w:r>
          </w:p>
        </w:tc>
        <w:tc>
          <w:tcPr>
            <w:tcW w:w="0" w:type="dxa"/>
            <w:vAlign w:val="bottom"/>
          </w:tcPr>
          <w:p>
            <w:pPr>
              <w:spacing w:after="0"/>
              <w:rPr>
                <w:sz w:val="1"/>
                <w:szCs w:val="1"/>
                <w:color w:val="auto"/>
              </w:rPr>
            </w:pPr>
          </w:p>
        </w:tc>
      </w:tr>
      <w:tr>
        <w:trPr>
          <w:trHeight w:val="229"/>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27,093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27,762</w:t>
            </w:r>
          </w:p>
        </w:tc>
        <w:tc>
          <w:tcPr>
            <w:tcW w:w="0" w:type="dxa"/>
            <w:vAlign w:val="bottom"/>
          </w:tcPr>
          <w:p>
            <w:pPr>
              <w:spacing w:after="0"/>
              <w:rPr>
                <w:sz w:val="1"/>
                <w:szCs w:val="1"/>
                <w:color w:val="auto"/>
              </w:rPr>
            </w:pPr>
          </w:p>
        </w:tc>
      </w:tr>
      <w:tr>
        <w:trPr>
          <w:trHeight w:val="230"/>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167,168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160,445</w:t>
            </w:r>
          </w:p>
        </w:tc>
        <w:tc>
          <w:tcPr>
            <w:tcW w:w="0" w:type="dxa"/>
            <w:vAlign w:val="bottom"/>
          </w:tcPr>
          <w:p>
            <w:pPr>
              <w:spacing w:after="0"/>
              <w:rPr>
                <w:sz w:val="1"/>
                <w:szCs w:val="1"/>
                <w:color w:val="auto"/>
              </w:rPr>
            </w:pPr>
          </w:p>
        </w:tc>
      </w:tr>
      <w:tr>
        <w:trPr>
          <w:trHeight w:val="229"/>
        </w:trPr>
        <w:tc>
          <w:tcPr>
            <w:tcW w:w="8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debt (net of debt issuance costs of $6,187 and $6,611, respectively)</w:t>
            </w: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1,125,055</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1,029,114</w:t>
            </w:r>
          </w:p>
        </w:tc>
        <w:tc>
          <w:tcPr>
            <w:tcW w:w="0" w:type="dxa"/>
            <w:vAlign w:val="bottom"/>
          </w:tcPr>
          <w:p>
            <w:pPr>
              <w:spacing w:after="0"/>
              <w:rPr>
                <w:sz w:val="1"/>
                <w:szCs w:val="1"/>
                <w:color w:val="auto"/>
              </w:rPr>
            </w:pPr>
          </w:p>
        </w:tc>
      </w:tr>
      <w:tr>
        <w:trPr>
          <w:trHeight w:val="223"/>
        </w:trPr>
        <w:tc>
          <w:tcPr>
            <w:tcW w:w="80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Total liabilities</w:t>
            </w:r>
          </w:p>
        </w:tc>
        <w:tc>
          <w:tcPr>
            <w:tcW w:w="2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1,439,465</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1,360,802</w:t>
            </w:r>
          </w:p>
        </w:tc>
        <w:tc>
          <w:tcPr>
            <w:tcW w:w="0" w:type="dxa"/>
            <w:vAlign w:val="bottom"/>
          </w:tcPr>
          <w:p>
            <w:pPr>
              <w:spacing w:after="0"/>
              <w:rPr>
                <w:sz w:val="1"/>
                <w:szCs w:val="1"/>
                <w:color w:val="auto"/>
              </w:rPr>
            </w:pPr>
          </w:p>
        </w:tc>
      </w:tr>
      <w:tr>
        <w:trPr>
          <w:trHeight w:val="210"/>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Preferred stock (par value $0.01 per share, 5,000,000 shares authorized, no shares issued)</w:t>
            </w:r>
          </w:p>
        </w:tc>
        <w:tc>
          <w:tcPr>
            <w:tcW w:w="2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5"/>
        </w:trPr>
        <w:tc>
          <w:tcPr>
            <w:tcW w:w="80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Common stock (par value $0.001 per share, 63,000,000 shares authorized, 29,507,049 issued and outstanding</w:t>
            </w:r>
          </w:p>
        </w:tc>
        <w:tc>
          <w:tcPr>
            <w:tcW w:w="220" w:type="dxa"/>
            <w:vAlign w:val="bottom"/>
          </w:tcPr>
          <w:p>
            <w:pPr>
              <w:spacing w:after="0"/>
              <w:rPr>
                <w:sz w:val="15"/>
                <w:szCs w:val="15"/>
                <w:color w:val="auto"/>
              </w:rPr>
            </w:pP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30</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and 29,762,293 issued and outstanding, respectively)</w:t>
            </w:r>
          </w:p>
        </w:tc>
        <w:tc>
          <w:tcPr>
            <w:tcW w:w="220" w:type="dxa"/>
            <w:vAlign w:val="bottom"/>
          </w:tcPr>
          <w:p>
            <w:pPr>
              <w:spacing w:after="0"/>
              <w:rPr>
                <w:sz w:val="21"/>
                <w:szCs w:val="21"/>
                <w:color w:val="auto"/>
              </w:rPr>
            </w:pPr>
          </w:p>
        </w:tc>
        <w:tc>
          <w:tcPr>
            <w:tcW w:w="128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30"/>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Paid-in capital</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809,042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825,103</w:t>
            </w:r>
          </w:p>
        </w:tc>
        <w:tc>
          <w:tcPr>
            <w:tcW w:w="0" w:type="dxa"/>
            <w:vAlign w:val="bottom"/>
          </w:tcPr>
          <w:p>
            <w:pPr>
              <w:spacing w:after="0"/>
              <w:rPr>
                <w:sz w:val="1"/>
                <w:szCs w:val="1"/>
                <w:color w:val="auto"/>
              </w:rPr>
            </w:pPr>
          </w:p>
        </w:tc>
      </w:tr>
      <w:tr>
        <w:trPr>
          <w:trHeight w:val="230"/>
        </w:trPr>
        <w:tc>
          <w:tcPr>
            <w:tcW w:w="8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Retained earnings</w:t>
            </w: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391,176</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423,773</w:t>
            </w:r>
          </w:p>
        </w:tc>
        <w:tc>
          <w:tcPr>
            <w:tcW w:w="0" w:type="dxa"/>
            <w:vAlign w:val="bottom"/>
          </w:tcPr>
          <w:p>
            <w:pPr>
              <w:spacing w:after="0"/>
              <w:rPr>
                <w:sz w:val="1"/>
                <w:szCs w:val="1"/>
                <w:color w:val="auto"/>
              </w:rPr>
            </w:pPr>
          </w:p>
        </w:tc>
      </w:tr>
      <w:tr>
        <w:trPr>
          <w:trHeight w:val="223"/>
        </w:trPr>
        <w:tc>
          <w:tcPr>
            <w:tcW w:w="80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1,200,248</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1,248,906</w:t>
            </w:r>
          </w:p>
        </w:tc>
        <w:tc>
          <w:tcPr>
            <w:tcW w:w="0" w:type="dxa"/>
            <w:vAlign w:val="bottom"/>
          </w:tcPr>
          <w:p>
            <w:pPr>
              <w:spacing w:after="0"/>
              <w:rPr>
                <w:sz w:val="1"/>
                <w:szCs w:val="1"/>
                <w:color w:val="auto"/>
              </w:rPr>
            </w:pPr>
          </w:p>
        </w:tc>
      </w:tr>
      <w:tr>
        <w:trPr>
          <w:trHeight w:val="223"/>
        </w:trPr>
        <w:tc>
          <w:tcPr>
            <w:tcW w:w="80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2,639,713</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2,609,708</w:t>
            </w:r>
          </w:p>
        </w:tc>
        <w:tc>
          <w:tcPr>
            <w:tcW w:w="0" w:type="dxa"/>
            <w:vAlign w:val="bottom"/>
          </w:tcPr>
          <w:p>
            <w:pPr>
              <w:spacing w:after="0"/>
              <w:rPr>
                <w:sz w:val="1"/>
                <w:szCs w:val="1"/>
                <w:color w:val="auto"/>
              </w:rPr>
            </w:pPr>
          </w:p>
        </w:tc>
      </w:tr>
      <w:tr>
        <w:trPr>
          <w:trHeight w:val="20"/>
        </w:trPr>
        <w:tc>
          <w:tcPr>
            <w:tcW w:w="80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BEAZER HOMES USA,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33"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79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9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9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940" w:type="dxa"/>
            <w:vAlign w:val="bottom"/>
            <w:gridSpan w:val="3"/>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7920" w:type="dxa"/>
            <w:vAlign w:val="bottom"/>
            <w:vMerge w:val="restart"/>
          </w:tcPr>
          <w:p>
            <w:pPr>
              <w:ind w:left="40"/>
              <w:spacing w:after="0"/>
              <w:rPr>
                <w:sz w:val="20"/>
                <w:szCs w:val="20"/>
                <w:color w:val="auto"/>
              </w:rPr>
            </w:pPr>
            <w:r>
              <w:rPr>
                <w:rFonts w:ascii="Times New Roman" w:cs="Times New Roman" w:eastAsia="Times New Roman" w:hAnsi="Times New Roman"/>
                <w:sz w:val="14"/>
                <w:szCs w:val="14"/>
                <w:i w:val="1"/>
                <w:iCs w:val="1"/>
                <w:color w:val="auto"/>
              </w:rPr>
              <w:t>in thousands (except per share data)</w:t>
            </w: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920" w:type="dxa"/>
            <w:vAlign w:val="bottom"/>
            <w:tcBorders>
              <w:bottom w:val="single" w:sz="8" w:color="CCEEFF"/>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color w:val="auto"/>
              </w:rPr>
              <w:t>2024</w:t>
            </w:r>
          </w:p>
        </w:tc>
        <w:tc>
          <w:tcPr>
            <w:tcW w:w="0" w:type="dxa"/>
            <w:vAlign w:val="bottom"/>
          </w:tcPr>
          <w:p>
            <w:pPr>
              <w:spacing w:after="0"/>
              <w:rPr>
                <w:sz w:val="1"/>
                <w:szCs w:val="1"/>
                <w:color w:val="auto"/>
              </w:rPr>
            </w:pPr>
          </w:p>
        </w:tc>
      </w:tr>
      <w:tr>
        <w:trPr>
          <w:trHeight w:val="229"/>
        </w:trPr>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363,491</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468,953</w:t>
            </w:r>
          </w:p>
        </w:tc>
        <w:tc>
          <w:tcPr>
            <w:tcW w:w="0" w:type="dxa"/>
            <w:vAlign w:val="bottom"/>
          </w:tcPr>
          <w:p>
            <w:pPr>
              <w:spacing w:after="0"/>
              <w:rPr>
                <w:sz w:val="1"/>
                <w:szCs w:val="1"/>
                <w:color w:val="auto"/>
              </w:rPr>
            </w:pPr>
          </w:p>
        </w:tc>
      </w:tr>
      <w:tr>
        <w:trPr>
          <w:trHeight w:val="229"/>
        </w:trPr>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Home construction and land sales expenses</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323,917</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396,875</w:t>
            </w:r>
          </w:p>
        </w:tc>
        <w:tc>
          <w:tcPr>
            <w:tcW w:w="0" w:type="dxa"/>
            <w:vAlign w:val="bottom"/>
          </w:tcPr>
          <w:p>
            <w:pPr>
              <w:spacing w:after="0"/>
              <w:rPr>
                <w:sz w:val="1"/>
                <w:szCs w:val="1"/>
                <w:color w:val="auto"/>
              </w:rPr>
            </w:pPr>
          </w:p>
        </w:tc>
      </w:tr>
      <w:tr>
        <w:trPr>
          <w:trHeight w:val="230"/>
        </w:trPr>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Inventory impairments and abandonments</w:t>
            </w: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2,370</w:t>
            </w:r>
          </w:p>
        </w:tc>
        <w:tc>
          <w:tcPr>
            <w:tcW w:w="10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79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Gross profit</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37,204</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72,078</w:t>
            </w:r>
          </w:p>
        </w:tc>
        <w:tc>
          <w:tcPr>
            <w:tcW w:w="0" w:type="dxa"/>
            <w:vAlign w:val="bottom"/>
          </w:tcPr>
          <w:p>
            <w:pPr>
              <w:spacing w:after="0"/>
              <w:rPr>
                <w:sz w:val="1"/>
                <w:szCs w:val="1"/>
                <w:color w:val="auto"/>
              </w:rPr>
            </w:pPr>
          </w:p>
        </w:tc>
      </w:tr>
      <w:tr>
        <w:trPr>
          <w:trHeight w:val="230"/>
        </w:trPr>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Commissions</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12,016</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16,113</w:t>
            </w:r>
          </w:p>
        </w:tc>
        <w:tc>
          <w:tcPr>
            <w:tcW w:w="0" w:type="dxa"/>
            <w:vAlign w:val="bottom"/>
          </w:tcPr>
          <w:p>
            <w:pPr>
              <w:spacing w:after="0"/>
              <w:rPr>
                <w:sz w:val="1"/>
                <w:szCs w:val="1"/>
                <w:color w:val="auto"/>
              </w:rPr>
            </w:pPr>
          </w:p>
        </w:tc>
      </w:tr>
      <w:tr>
        <w:trPr>
          <w:trHeight w:val="229"/>
        </w:trPr>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52,989</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49,772</w:t>
            </w:r>
          </w:p>
        </w:tc>
        <w:tc>
          <w:tcPr>
            <w:tcW w:w="0" w:type="dxa"/>
            <w:vAlign w:val="bottom"/>
          </w:tcPr>
          <w:p>
            <w:pPr>
              <w:spacing w:after="0"/>
              <w:rPr>
                <w:sz w:val="1"/>
                <w:szCs w:val="1"/>
                <w:color w:val="auto"/>
              </w:rPr>
            </w:pPr>
          </w:p>
        </w:tc>
      </w:tr>
      <w:tr>
        <w:trPr>
          <w:trHeight w:val="229"/>
        </w:trPr>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4,042</w:t>
            </w:r>
          </w:p>
        </w:tc>
        <w:tc>
          <w:tcPr>
            <w:tcW w:w="10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4,055</w:t>
            </w:r>
          </w:p>
        </w:tc>
        <w:tc>
          <w:tcPr>
            <w:tcW w:w="0" w:type="dxa"/>
            <w:vAlign w:val="bottom"/>
          </w:tcPr>
          <w:p>
            <w:pPr>
              <w:spacing w:after="0"/>
              <w:rPr>
                <w:sz w:val="1"/>
                <w:szCs w:val="1"/>
                <w:color w:val="auto"/>
              </w:rPr>
            </w:pPr>
          </w:p>
        </w:tc>
      </w:tr>
      <w:tr>
        <w:trPr>
          <w:trHeight w:val="223"/>
        </w:trPr>
        <w:tc>
          <w:tcPr>
            <w:tcW w:w="79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Operating (loss) income</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(31,843)</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2,138</w:t>
            </w:r>
          </w:p>
        </w:tc>
        <w:tc>
          <w:tcPr>
            <w:tcW w:w="0" w:type="dxa"/>
            <w:vAlign w:val="bottom"/>
          </w:tcPr>
          <w:p>
            <w:pPr>
              <w:spacing w:after="0"/>
              <w:rPr>
                <w:sz w:val="1"/>
                <w:szCs w:val="1"/>
                <w:color w:val="auto"/>
              </w:rPr>
            </w:pPr>
          </w:p>
        </w:tc>
      </w:tr>
      <w:tr>
        <w:trPr>
          <w:trHeight w:val="229"/>
        </w:trPr>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778</w:t>
            </w:r>
          </w:p>
        </w:tc>
        <w:tc>
          <w:tcPr>
            <w:tcW w:w="10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1,028</w:t>
            </w:r>
          </w:p>
        </w:tc>
        <w:tc>
          <w:tcPr>
            <w:tcW w:w="0" w:type="dxa"/>
            <w:vAlign w:val="bottom"/>
          </w:tcPr>
          <w:p>
            <w:pPr>
              <w:spacing w:after="0"/>
              <w:rPr>
                <w:sz w:val="1"/>
                <w:szCs w:val="1"/>
                <w:color w:val="auto"/>
              </w:rPr>
            </w:pPr>
          </w:p>
        </w:tc>
      </w:tr>
      <w:tr>
        <w:trPr>
          <w:trHeight w:val="223"/>
        </w:trPr>
        <w:tc>
          <w:tcPr>
            <w:tcW w:w="79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(Loss) income before income taxes</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(31,065)</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3,166</w:t>
            </w:r>
          </w:p>
        </w:tc>
        <w:tc>
          <w:tcPr>
            <w:tcW w:w="0" w:type="dxa"/>
            <w:vAlign w:val="bottom"/>
          </w:tcPr>
          <w:p>
            <w:pPr>
              <w:spacing w:after="0"/>
              <w:rPr>
                <w:sz w:val="1"/>
                <w:szCs w:val="1"/>
                <w:color w:val="auto"/>
              </w:rPr>
            </w:pPr>
          </w:p>
        </w:tc>
      </w:tr>
      <w:tr>
        <w:trPr>
          <w:trHeight w:val="229"/>
        </w:trPr>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Expense from income taxes</w:t>
            </w: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1,532</w:t>
            </w:r>
          </w:p>
        </w:tc>
        <w:tc>
          <w:tcPr>
            <w:tcW w:w="10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23"/>
        </w:trPr>
        <w:tc>
          <w:tcPr>
            <w:tcW w:w="79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(loss) income</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(32,597)</w:t>
            </w:r>
          </w:p>
        </w:tc>
        <w:tc>
          <w:tcPr>
            <w:tcW w:w="100" w:type="dxa"/>
            <w:vAlign w:val="bottom"/>
          </w:tcPr>
          <w:p>
            <w:pPr>
              <w:spacing w:after="0"/>
              <w:rPr>
                <w:sz w:val="19"/>
                <w:szCs w:val="19"/>
                <w:color w:val="auto"/>
              </w:rPr>
            </w:pPr>
          </w:p>
        </w:tc>
        <w:tc>
          <w:tcPr>
            <w:tcW w:w="6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3,130</w:t>
            </w:r>
          </w:p>
        </w:tc>
        <w:tc>
          <w:tcPr>
            <w:tcW w:w="0" w:type="dxa"/>
            <w:vAlign w:val="bottom"/>
          </w:tcPr>
          <w:p>
            <w:pPr>
              <w:spacing w:after="0"/>
              <w:rPr>
                <w:sz w:val="1"/>
                <w:szCs w:val="1"/>
                <w:color w:val="auto"/>
              </w:rPr>
            </w:pPr>
          </w:p>
        </w:tc>
      </w:tr>
      <w:tr>
        <w:trPr>
          <w:trHeight w:val="20"/>
        </w:trPr>
        <w:tc>
          <w:tcPr>
            <w:tcW w:w="79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92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Weighted-average number of shares:</w:t>
            </w: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79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Basic</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28,928</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30,426</w:t>
            </w:r>
          </w:p>
        </w:tc>
        <w:tc>
          <w:tcPr>
            <w:tcW w:w="0" w:type="dxa"/>
            <w:vAlign w:val="bottom"/>
          </w:tcPr>
          <w:p>
            <w:pPr>
              <w:spacing w:after="0"/>
              <w:rPr>
                <w:sz w:val="1"/>
                <w:szCs w:val="1"/>
                <w:color w:val="auto"/>
              </w:rPr>
            </w:pPr>
          </w:p>
        </w:tc>
      </w:tr>
      <w:tr>
        <w:trPr>
          <w:trHeight w:val="229"/>
        </w:trPr>
        <w:tc>
          <w:tcPr>
            <w:tcW w:w="79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Diluted</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28,928</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30,800</w:t>
            </w:r>
          </w:p>
        </w:tc>
        <w:tc>
          <w:tcPr>
            <w:tcW w:w="0" w:type="dxa"/>
            <w:vAlign w:val="bottom"/>
          </w:tcPr>
          <w:p>
            <w:pPr>
              <w:spacing w:after="0"/>
              <w:rPr>
                <w:sz w:val="1"/>
                <w:szCs w:val="1"/>
                <w:color w:val="auto"/>
              </w:rPr>
            </w:pPr>
          </w:p>
        </w:tc>
      </w:tr>
      <w:tr>
        <w:trPr>
          <w:trHeight w:val="230"/>
        </w:trPr>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(Loss) income per share:</w:t>
            </w: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Basic</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(1.13)</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0" w:type="dxa"/>
            <w:vAlign w:val="bottom"/>
          </w:tcPr>
          <w:p>
            <w:pPr>
              <w:spacing w:after="0"/>
              <w:rPr>
                <w:sz w:val="1"/>
                <w:szCs w:val="1"/>
                <w:color w:val="auto"/>
              </w:rPr>
            </w:pPr>
          </w:p>
        </w:tc>
      </w:tr>
      <w:tr>
        <w:trPr>
          <w:trHeight w:val="238"/>
        </w:trPr>
        <w:tc>
          <w:tcPr>
            <w:tcW w:w="79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Diluted</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(1.13)</w:t>
            </w:r>
          </w:p>
        </w:tc>
        <w:tc>
          <w:tcPr>
            <w:tcW w:w="100" w:type="dxa"/>
            <w:vAlign w:val="bottom"/>
          </w:tcPr>
          <w:p>
            <w:pPr>
              <w:spacing w:after="0"/>
              <w:rPr>
                <w:sz w:val="20"/>
                <w:szCs w:val="20"/>
                <w:color w:val="auto"/>
              </w:rPr>
            </w:pPr>
          </w:p>
        </w:tc>
        <w:tc>
          <w:tcPr>
            <w:tcW w:w="62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BEAZER HOMES USA,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33"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47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700" w:type="dxa"/>
            <w:vAlign w:val="bottom"/>
            <w:gridSpan w:val="8"/>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Three Months Ended December 31, 2025</w:t>
            </w: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780" w:type="dxa"/>
            <w:vAlign w:val="bottom"/>
          </w:tcPr>
          <w:p>
            <w:pPr>
              <w:spacing w:after="0"/>
              <w:rPr>
                <w:sz w:val="2"/>
                <w:szCs w:val="2"/>
                <w:color w:val="auto"/>
              </w:rPr>
            </w:pPr>
          </w:p>
        </w:tc>
        <w:tc>
          <w:tcPr>
            <w:tcW w:w="2580" w:type="dxa"/>
            <w:vAlign w:val="bottom"/>
            <w:tcBorders>
              <w:bottom w:val="single" w:sz="8" w:color="auto"/>
            </w:tcBorders>
            <w:gridSpan w:val="5"/>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780" w:type="dxa"/>
            <w:vAlign w:val="bottom"/>
          </w:tcPr>
          <w:p>
            <w:pPr>
              <w:spacing w:after="0"/>
              <w:rPr>
                <w:sz w:val="16"/>
                <w:szCs w:val="16"/>
                <w:color w:val="auto"/>
              </w:rPr>
            </w:pPr>
          </w:p>
        </w:tc>
        <w:tc>
          <w:tcPr>
            <w:tcW w:w="2580" w:type="dxa"/>
            <w:vAlign w:val="bottom"/>
            <w:gridSpan w:val="5"/>
          </w:tcPr>
          <w:p>
            <w:pPr>
              <w:ind w:left="76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78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280" w:type="dxa"/>
            <w:vAlign w:val="bottom"/>
            <w:tcBorders>
              <w:top w:val="single" w:sz="8" w:color="auto"/>
            </w:tcBorders>
            <w:gridSpan w:val="2"/>
          </w:tcPr>
          <w:p>
            <w:pPr>
              <w:ind w:left="3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Paid-in Capital</w:t>
            </w:r>
          </w:p>
        </w:tc>
        <w:tc>
          <w:tcPr>
            <w:tcW w:w="13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Retained Earnings</w:t>
            </w:r>
          </w:p>
        </w:tc>
        <w:tc>
          <w:tcPr>
            <w:tcW w:w="260" w:type="dxa"/>
            <w:vAlign w:val="bottom"/>
          </w:tcPr>
          <w:p>
            <w:pPr>
              <w:spacing w:after="0"/>
              <w:rPr>
                <w:sz w:val="17"/>
                <w:szCs w:val="17"/>
                <w:color w:val="auto"/>
              </w:rPr>
            </w:pPr>
          </w:p>
        </w:tc>
        <w:tc>
          <w:tcPr>
            <w:tcW w:w="940" w:type="dxa"/>
            <w:vAlign w:val="bottom"/>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29"/>
        </w:trPr>
        <w:tc>
          <w:tcPr>
            <w:tcW w:w="47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September 30, 2025</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29,762</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825,103</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423,773</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1,248,906</w:t>
            </w:r>
          </w:p>
        </w:tc>
        <w:tc>
          <w:tcPr>
            <w:tcW w:w="0" w:type="dxa"/>
            <w:vAlign w:val="bottom"/>
          </w:tcPr>
          <w:p>
            <w:pPr>
              <w:spacing w:after="0"/>
              <w:rPr>
                <w:sz w:val="1"/>
                <w:szCs w:val="1"/>
                <w:color w:val="auto"/>
              </w:rPr>
            </w:pPr>
          </w:p>
        </w:tc>
      </w:tr>
      <w:tr>
        <w:trPr>
          <w:trHeight w:val="230"/>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Net loss and comprehensive loss</w:t>
            </w: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9"/>
                <w:szCs w:val="19"/>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(32,597)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(32,597)</w:t>
            </w:r>
          </w:p>
        </w:tc>
        <w:tc>
          <w:tcPr>
            <w:tcW w:w="0" w:type="dxa"/>
            <w:vAlign w:val="bottom"/>
          </w:tcPr>
          <w:p>
            <w:pPr>
              <w:spacing w:after="0"/>
              <w:rPr>
                <w:sz w:val="1"/>
                <w:szCs w:val="1"/>
                <w:color w:val="auto"/>
              </w:rPr>
            </w:pPr>
          </w:p>
        </w:tc>
      </w:tr>
      <w:tr>
        <w:trPr>
          <w:trHeight w:val="229"/>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1,554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1,554</w:t>
            </w:r>
          </w:p>
        </w:tc>
        <w:tc>
          <w:tcPr>
            <w:tcW w:w="0" w:type="dxa"/>
            <w:vAlign w:val="bottom"/>
          </w:tcPr>
          <w:p>
            <w:pPr>
              <w:spacing w:after="0"/>
              <w:rPr>
                <w:sz w:val="1"/>
                <w:szCs w:val="1"/>
                <w:color w:val="auto"/>
              </w:rPr>
            </w:pPr>
          </w:p>
        </w:tc>
      </w:tr>
      <w:tr>
        <w:trPr>
          <w:trHeight w:val="229"/>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Shares issued under employee stock plans, net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564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30"/>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Forfeiture and other settlements of restricted stock</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29"/>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redeemed for tax liability</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(2,488)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(2,488)</w:t>
            </w:r>
          </w:p>
        </w:tc>
        <w:tc>
          <w:tcPr>
            <w:tcW w:w="0" w:type="dxa"/>
            <w:vAlign w:val="bottom"/>
          </w:tcPr>
          <w:p>
            <w:pPr>
              <w:spacing w:after="0"/>
              <w:rPr>
                <w:sz w:val="1"/>
                <w:szCs w:val="1"/>
                <w:color w:val="auto"/>
              </w:rPr>
            </w:pPr>
          </w:p>
        </w:tc>
      </w:tr>
      <w:tr>
        <w:trPr>
          <w:trHeight w:val="229"/>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repurchases</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(697)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(15,126)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(15,127)</w:t>
            </w:r>
          </w:p>
        </w:tc>
        <w:tc>
          <w:tcPr>
            <w:tcW w:w="0" w:type="dxa"/>
            <w:vAlign w:val="bottom"/>
          </w:tcPr>
          <w:p>
            <w:pPr>
              <w:spacing w:after="0"/>
              <w:rPr>
                <w:sz w:val="1"/>
                <w:szCs w:val="1"/>
                <w:color w:val="auto"/>
              </w:rPr>
            </w:pPr>
          </w:p>
        </w:tc>
      </w:tr>
      <w:tr>
        <w:trPr>
          <w:trHeight w:val="232"/>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Balance as of December 31, 2025</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29,507</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809,042</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391,176</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1,200,248</w:t>
            </w:r>
          </w:p>
        </w:tc>
        <w:tc>
          <w:tcPr>
            <w:tcW w:w="0" w:type="dxa"/>
            <w:vAlign w:val="bottom"/>
          </w:tcPr>
          <w:p>
            <w:pPr>
              <w:spacing w:after="0"/>
              <w:rPr>
                <w:sz w:val="1"/>
                <w:szCs w:val="1"/>
                <w:color w:val="auto"/>
              </w:rPr>
            </w:pPr>
          </w:p>
        </w:tc>
      </w:tr>
      <w:tr>
        <w:trPr>
          <w:trHeight w:val="494"/>
        </w:trPr>
        <w:tc>
          <w:tcPr>
            <w:tcW w:w="47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700" w:type="dxa"/>
            <w:vAlign w:val="bottom"/>
            <w:gridSpan w:val="8"/>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Three Months Ended December 31, 2024</w:t>
            </w: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4780" w:type="dxa"/>
            <w:vAlign w:val="bottom"/>
          </w:tcPr>
          <w:p>
            <w:pPr>
              <w:spacing w:after="0"/>
              <w:rPr>
                <w:sz w:val="2"/>
                <w:szCs w:val="2"/>
                <w:color w:val="auto"/>
              </w:rPr>
            </w:pPr>
          </w:p>
        </w:tc>
        <w:tc>
          <w:tcPr>
            <w:tcW w:w="2580" w:type="dxa"/>
            <w:vAlign w:val="bottom"/>
            <w:tcBorders>
              <w:bottom w:val="single" w:sz="8" w:color="auto"/>
            </w:tcBorders>
            <w:gridSpan w:val="5"/>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4780" w:type="dxa"/>
            <w:vAlign w:val="bottom"/>
          </w:tcPr>
          <w:p>
            <w:pPr>
              <w:spacing w:after="0"/>
              <w:rPr>
                <w:sz w:val="19"/>
                <w:szCs w:val="19"/>
                <w:color w:val="auto"/>
              </w:rPr>
            </w:pPr>
          </w:p>
        </w:tc>
        <w:tc>
          <w:tcPr>
            <w:tcW w:w="2580" w:type="dxa"/>
            <w:vAlign w:val="bottom"/>
            <w:gridSpan w:val="5"/>
          </w:tcPr>
          <w:p>
            <w:pPr>
              <w:ind w:left="76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
        </w:trPr>
        <w:tc>
          <w:tcPr>
            <w:tcW w:w="478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28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Paid-in Capital</w:t>
            </w:r>
          </w:p>
        </w:tc>
        <w:tc>
          <w:tcPr>
            <w:tcW w:w="13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Retained Earnings</w:t>
            </w:r>
          </w:p>
        </w:tc>
        <w:tc>
          <w:tcPr>
            <w:tcW w:w="260" w:type="dxa"/>
            <w:vAlign w:val="bottom"/>
          </w:tcPr>
          <w:p>
            <w:pPr>
              <w:spacing w:after="0"/>
              <w:rPr>
                <w:sz w:val="2"/>
                <w:szCs w:val="2"/>
                <w:color w:val="auto"/>
              </w:rPr>
            </w:pPr>
          </w:p>
        </w:tc>
        <w:tc>
          <w:tcPr>
            <w:tcW w:w="940" w:type="dxa"/>
            <w:vAlign w:val="bottom"/>
            <w:vMerge w:val="restart"/>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0"/>
        </w:trPr>
        <w:tc>
          <w:tcPr>
            <w:tcW w:w="4780" w:type="dxa"/>
            <w:vAlign w:val="bottom"/>
            <w:vMerge w:val="continue"/>
          </w:tcPr>
          <w:p>
            <w:pPr>
              <w:spacing w:after="0"/>
              <w:rPr>
                <w:sz w:val="16"/>
                <w:szCs w:val="16"/>
                <w:color w:val="auto"/>
              </w:rPr>
            </w:pPr>
          </w:p>
        </w:tc>
        <w:tc>
          <w:tcPr>
            <w:tcW w:w="1280" w:type="dxa"/>
            <w:vAlign w:val="bottom"/>
            <w:tcBorders>
              <w:top w:val="single" w:sz="8" w:color="auto"/>
            </w:tcBorders>
            <w:gridSpan w:val="2"/>
          </w:tcPr>
          <w:p>
            <w:pPr>
              <w:ind w:left="3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300" w:type="dxa"/>
            <w:vAlign w:val="bottom"/>
            <w:gridSpan w:val="3"/>
            <w:vMerge w:val="continue"/>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47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September 30, 2024</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31,048</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853,895</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378,185</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1,232,111</w:t>
            </w:r>
          </w:p>
        </w:tc>
        <w:tc>
          <w:tcPr>
            <w:tcW w:w="0" w:type="dxa"/>
            <w:vAlign w:val="bottom"/>
          </w:tcPr>
          <w:p>
            <w:pPr>
              <w:spacing w:after="0"/>
              <w:rPr>
                <w:sz w:val="1"/>
                <w:szCs w:val="1"/>
                <w:color w:val="auto"/>
              </w:rPr>
            </w:pPr>
          </w:p>
        </w:tc>
      </w:tr>
      <w:tr>
        <w:trPr>
          <w:trHeight w:val="229"/>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Net income and comprehensive income</w:t>
            </w: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3,130</w:t>
            </w:r>
          </w:p>
        </w:tc>
        <w:tc>
          <w:tcPr>
            <w:tcW w:w="0" w:type="dxa"/>
            <w:vAlign w:val="bottom"/>
          </w:tcPr>
          <w:p>
            <w:pPr>
              <w:spacing w:after="0"/>
              <w:rPr>
                <w:sz w:val="1"/>
                <w:szCs w:val="1"/>
                <w:color w:val="auto"/>
              </w:rPr>
            </w:pPr>
          </w:p>
        </w:tc>
      </w:tr>
      <w:tr>
        <w:trPr>
          <w:trHeight w:val="229"/>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1,913</w:t>
            </w:r>
          </w:p>
        </w:tc>
        <w:tc>
          <w:tcPr>
            <w:tcW w:w="0" w:type="dxa"/>
            <w:vAlign w:val="bottom"/>
          </w:tcPr>
          <w:p>
            <w:pPr>
              <w:spacing w:after="0"/>
              <w:rPr>
                <w:sz w:val="1"/>
                <w:szCs w:val="1"/>
                <w:color w:val="auto"/>
              </w:rPr>
            </w:pPr>
          </w:p>
        </w:tc>
      </w:tr>
      <w:tr>
        <w:trPr>
          <w:trHeight w:val="230"/>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Shares issued under employee stock plans, net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Forfeiture and other settlements of restricted stock</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redeemed for tax liability</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(3,106)</w:t>
            </w:r>
          </w:p>
        </w:tc>
        <w:tc>
          <w:tcPr>
            <w:tcW w:w="0" w:type="dxa"/>
            <w:vAlign w:val="bottom"/>
          </w:tcPr>
          <w:p>
            <w:pPr>
              <w:spacing w:after="0"/>
              <w:rPr>
                <w:sz w:val="1"/>
                <w:szCs w:val="1"/>
                <w:color w:val="auto"/>
              </w:rPr>
            </w:pPr>
          </w:p>
        </w:tc>
      </w:tr>
      <w:tr>
        <w:trPr>
          <w:trHeight w:val="223"/>
        </w:trPr>
        <w:tc>
          <w:tcPr>
            <w:tcW w:w="47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December 31, 2024</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31,202</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852,702</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381,315</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1,234,048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BEAZER HOMES USA,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9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9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940" w:type="dxa"/>
            <w:vAlign w:val="bottom"/>
            <w:gridSpan w:val="3"/>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794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940" w:type="dxa"/>
            <w:vAlign w:val="bottom"/>
            <w:tcBorders>
              <w:bottom w:val="single" w:sz="8" w:color="CCEEFF"/>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color w:val="auto"/>
              </w:rPr>
              <w:t>2024</w:t>
            </w:r>
          </w:p>
        </w:tc>
        <w:tc>
          <w:tcPr>
            <w:tcW w:w="0" w:type="dxa"/>
            <w:vAlign w:val="bottom"/>
          </w:tcPr>
          <w:p>
            <w:pPr>
              <w:spacing w:after="0"/>
              <w:rPr>
                <w:sz w:val="1"/>
                <w:szCs w:val="1"/>
                <w:color w:val="auto"/>
              </w:rPr>
            </w:pPr>
          </w:p>
        </w:tc>
      </w:tr>
      <w:tr>
        <w:trPr>
          <w:trHeight w:val="216"/>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(loss) income</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(32,597)</w:t>
            </w:r>
          </w:p>
        </w:tc>
        <w:tc>
          <w:tcPr>
            <w:tcW w:w="100" w:type="dxa"/>
            <w:vAlign w:val="bottom"/>
          </w:tcPr>
          <w:p>
            <w:pPr>
              <w:spacing w:after="0"/>
              <w:rPr>
                <w:sz w:val="19"/>
                <w:szCs w:val="19"/>
                <w:color w:val="auto"/>
              </w:rPr>
            </w:pPr>
          </w:p>
        </w:tc>
        <w:tc>
          <w:tcPr>
            <w:tcW w:w="62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3,130</w:t>
            </w:r>
          </w:p>
        </w:tc>
        <w:tc>
          <w:tcPr>
            <w:tcW w:w="0" w:type="dxa"/>
            <w:vAlign w:val="bottom"/>
          </w:tcPr>
          <w:p>
            <w:pPr>
              <w:spacing w:after="0"/>
              <w:rPr>
                <w:sz w:val="1"/>
                <w:szCs w:val="1"/>
                <w:color w:val="auto"/>
              </w:rPr>
            </w:pPr>
          </w:p>
        </w:tc>
      </w:tr>
      <w:tr>
        <w:trPr>
          <w:trHeight w:val="230"/>
        </w:trPr>
        <w:tc>
          <w:tcPr>
            <w:tcW w:w="7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Adjustments to reconcile net (loss) income to net cash used in operating activities:</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4,042</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4,055</w:t>
            </w:r>
          </w:p>
        </w:tc>
        <w:tc>
          <w:tcPr>
            <w:tcW w:w="0" w:type="dxa"/>
            <w:vAlign w:val="bottom"/>
          </w:tcPr>
          <w:p>
            <w:pPr>
              <w:spacing w:after="0"/>
              <w:rPr>
                <w:sz w:val="1"/>
                <w:szCs w:val="1"/>
                <w:color w:val="auto"/>
              </w:rPr>
            </w:pPr>
          </w:p>
        </w:tc>
      </w:tr>
      <w:tr>
        <w:trPr>
          <w:trHeight w:val="229"/>
        </w:trPr>
        <w:tc>
          <w:tcPr>
            <w:tcW w:w="79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1,554</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1,913</w:t>
            </w:r>
          </w:p>
        </w:tc>
        <w:tc>
          <w:tcPr>
            <w:tcW w:w="0" w:type="dxa"/>
            <w:vAlign w:val="bottom"/>
          </w:tcPr>
          <w:p>
            <w:pPr>
              <w:spacing w:after="0"/>
              <w:rPr>
                <w:sz w:val="1"/>
                <w:szCs w:val="1"/>
                <w:color w:val="auto"/>
              </w:rPr>
            </w:pPr>
          </w:p>
        </w:tc>
      </w:tr>
      <w:tr>
        <w:trPr>
          <w:trHeight w:val="230"/>
        </w:trPr>
        <w:tc>
          <w:tcPr>
            <w:tcW w:w="79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Inventory impairments and abandonments</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2,370</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79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Expense from income taxes</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1,532</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29"/>
        </w:trPr>
        <w:tc>
          <w:tcPr>
            <w:tcW w:w="79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Gain on disposal of fixed assets</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30"/>
        </w:trPr>
        <w:tc>
          <w:tcPr>
            <w:tcW w:w="79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4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Increase in accounts receivable</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(14,614)</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(5,298)</w:t>
            </w:r>
          </w:p>
        </w:tc>
        <w:tc>
          <w:tcPr>
            <w:tcW w:w="0" w:type="dxa"/>
            <w:vAlign w:val="bottom"/>
          </w:tcPr>
          <w:p>
            <w:pPr>
              <w:spacing w:after="0"/>
              <w:rPr>
                <w:sz w:val="1"/>
                <w:szCs w:val="1"/>
                <w:color w:val="auto"/>
              </w:rPr>
            </w:pPr>
          </w:p>
        </w:tc>
      </w:tr>
      <w:tr>
        <w:trPr>
          <w:trHeight w:val="230"/>
        </w:trPr>
        <w:tc>
          <w:tcPr>
            <w:tcW w:w="794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Increase in inventory</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(112,570)</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(122,319)</w:t>
            </w:r>
          </w:p>
        </w:tc>
        <w:tc>
          <w:tcPr>
            <w:tcW w:w="0" w:type="dxa"/>
            <w:vAlign w:val="bottom"/>
          </w:tcPr>
          <w:p>
            <w:pPr>
              <w:spacing w:after="0"/>
              <w:rPr>
                <w:sz w:val="1"/>
                <w:szCs w:val="1"/>
                <w:color w:val="auto"/>
              </w:rPr>
            </w:pPr>
          </w:p>
        </w:tc>
      </w:tr>
      <w:tr>
        <w:trPr>
          <w:trHeight w:val="229"/>
        </w:trPr>
        <w:tc>
          <w:tcPr>
            <w:tcW w:w="794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Decrease in other assets</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1,231</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0" w:type="dxa"/>
            <w:vAlign w:val="bottom"/>
          </w:tcPr>
          <w:p>
            <w:pPr>
              <w:spacing w:after="0"/>
              <w:rPr>
                <w:sz w:val="1"/>
                <w:szCs w:val="1"/>
                <w:color w:val="auto"/>
              </w:rPr>
            </w:pPr>
          </w:p>
        </w:tc>
      </w:tr>
      <w:tr>
        <w:trPr>
          <w:trHeight w:val="229"/>
        </w:trPr>
        <w:tc>
          <w:tcPr>
            <w:tcW w:w="794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Decrease in trade accounts payable</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(23,332)</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(12,672)</w:t>
            </w:r>
          </w:p>
        </w:tc>
        <w:tc>
          <w:tcPr>
            <w:tcW w:w="0" w:type="dxa"/>
            <w:vAlign w:val="bottom"/>
          </w:tcPr>
          <w:p>
            <w:pPr>
              <w:spacing w:after="0"/>
              <w:rPr>
                <w:sz w:val="1"/>
                <w:szCs w:val="1"/>
                <w:color w:val="auto"/>
              </w:rPr>
            </w:pPr>
          </w:p>
        </w:tc>
      </w:tr>
      <w:tr>
        <w:trPr>
          <w:trHeight w:val="230"/>
        </w:trPr>
        <w:tc>
          <w:tcPr>
            <w:tcW w:w="7940" w:type="dxa"/>
            <w:vAlign w:val="bottom"/>
            <w:tcBorders>
              <w:bottom w:val="single" w:sz="8" w:color="CCEEFF"/>
            </w:tcBorders>
          </w:tcPr>
          <w:p>
            <w:pPr>
              <w:ind w:left="1120"/>
              <w:spacing w:after="0"/>
              <w:rPr>
                <w:sz w:val="20"/>
                <w:szCs w:val="20"/>
                <w:color w:val="auto"/>
              </w:rPr>
            </w:pPr>
            <w:r>
              <w:rPr>
                <w:rFonts w:ascii="Times New Roman" w:cs="Times New Roman" w:eastAsia="Times New Roman" w:hAnsi="Times New Roman"/>
                <w:sz w:val="18"/>
                <w:szCs w:val="18"/>
                <w:color w:val="auto"/>
              </w:rPr>
              <w:t>Increase (decrease) in other liabilities</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7,103</w:t>
            </w:r>
          </w:p>
        </w:tc>
        <w:tc>
          <w:tcPr>
            <w:tcW w:w="10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(28,553)</w:t>
            </w:r>
          </w:p>
        </w:tc>
        <w:tc>
          <w:tcPr>
            <w:tcW w:w="0" w:type="dxa"/>
            <w:vAlign w:val="bottom"/>
          </w:tcPr>
          <w:p>
            <w:pPr>
              <w:spacing w:after="0"/>
              <w:rPr>
                <w:sz w:val="1"/>
                <w:szCs w:val="1"/>
                <w:color w:val="auto"/>
              </w:rPr>
            </w:pPr>
          </w:p>
        </w:tc>
      </w:tr>
      <w:tr>
        <w:trPr>
          <w:trHeight w:val="223"/>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(165,297)</w:t>
            </w:r>
          </w:p>
        </w:tc>
        <w:tc>
          <w:tcPr>
            <w:tcW w:w="10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(159,365)</w:t>
            </w:r>
          </w:p>
        </w:tc>
        <w:tc>
          <w:tcPr>
            <w:tcW w:w="0" w:type="dxa"/>
            <w:vAlign w:val="bottom"/>
          </w:tcPr>
          <w:p>
            <w:pPr>
              <w:spacing w:after="0"/>
              <w:rPr>
                <w:sz w:val="1"/>
                <w:szCs w:val="1"/>
                <w:color w:val="auto"/>
              </w:rPr>
            </w:pPr>
          </w:p>
        </w:tc>
      </w:tr>
      <w:tr>
        <w:trPr>
          <w:trHeight w:val="210"/>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Capital expenditures</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(5,558)</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(5,219)</w:t>
            </w:r>
          </w:p>
        </w:tc>
        <w:tc>
          <w:tcPr>
            <w:tcW w:w="0" w:type="dxa"/>
            <w:vAlign w:val="bottom"/>
          </w:tcPr>
          <w:p>
            <w:pPr>
              <w:spacing w:after="0"/>
              <w:rPr>
                <w:sz w:val="1"/>
                <w:szCs w:val="1"/>
                <w:color w:val="auto"/>
              </w:rPr>
            </w:pPr>
          </w:p>
        </w:tc>
      </w:tr>
      <w:tr>
        <w:trPr>
          <w:trHeight w:val="229"/>
        </w:trPr>
        <w:tc>
          <w:tcPr>
            <w:tcW w:w="7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Proceeds from sale of fixed assets</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30"/>
        </w:trPr>
        <w:tc>
          <w:tcPr>
            <w:tcW w:w="7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Purchases of investment securities</w:t>
            </w: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(768)</w:t>
            </w:r>
          </w:p>
        </w:tc>
        <w:tc>
          <w:tcPr>
            <w:tcW w:w="10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w:t>
            </w:r>
          </w:p>
        </w:tc>
        <w:tc>
          <w:tcPr>
            <w:tcW w:w="0" w:type="dxa"/>
            <w:vAlign w:val="bottom"/>
          </w:tcPr>
          <w:p>
            <w:pPr>
              <w:spacing w:after="0"/>
              <w:rPr>
                <w:sz w:val="1"/>
                <w:szCs w:val="1"/>
                <w:color w:val="auto"/>
              </w:rPr>
            </w:pPr>
          </w:p>
        </w:tc>
      </w:tr>
      <w:tr>
        <w:trPr>
          <w:trHeight w:val="223"/>
        </w:trPr>
        <w:tc>
          <w:tcPr>
            <w:tcW w:w="7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(6,310)</w:t>
            </w:r>
          </w:p>
        </w:tc>
        <w:tc>
          <w:tcPr>
            <w:tcW w:w="10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(5,672)</w:t>
            </w:r>
          </w:p>
        </w:tc>
        <w:tc>
          <w:tcPr>
            <w:tcW w:w="0" w:type="dxa"/>
            <w:vAlign w:val="bottom"/>
          </w:tcPr>
          <w:p>
            <w:pPr>
              <w:spacing w:after="0"/>
              <w:rPr>
                <w:sz w:val="1"/>
                <w:szCs w:val="1"/>
                <w:color w:val="auto"/>
              </w:rPr>
            </w:pPr>
          </w:p>
        </w:tc>
      </w:tr>
      <w:tr>
        <w:trPr>
          <w:trHeight w:val="210"/>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Repayment of borrowings from credit facility</w:t>
            </w:r>
          </w:p>
        </w:tc>
        <w:tc>
          <w:tcPr>
            <w:tcW w:w="36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0" w:type="dxa"/>
            <w:vAlign w:val="bottom"/>
          </w:tcPr>
          <w:p>
            <w:pPr>
              <w:spacing w:after="0"/>
              <w:rPr>
                <w:sz w:val="1"/>
                <w:szCs w:val="1"/>
                <w:color w:val="auto"/>
              </w:rPr>
            </w:pPr>
          </w:p>
        </w:tc>
      </w:tr>
      <w:tr>
        <w:trPr>
          <w:trHeight w:val="230"/>
        </w:trPr>
        <w:tc>
          <w:tcPr>
            <w:tcW w:w="7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Borrowings from credit facility</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95,000</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75,000</w:t>
            </w:r>
          </w:p>
        </w:tc>
        <w:tc>
          <w:tcPr>
            <w:tcW w:w="0" w:type="dxa"/>
            <w:vAlign w:val="bottom"/>
          </w:tcPr>
          <w:p>
            <w:pPr>
              <w:spacing w:after="0"/>
              <w:rPr>
                <w:sz w:val="1"/>
                <w:szCs w:val="1"/>
                <w:color w:val="auto"/>
              </w:rPr>
            </w:pPr>
          </w:p>
        </w:tc>
      </w:tr>
      <w:tr>
        <w:trPr>
          <w:trHeight w:val="230"/>
        </w:trPr>
        <w:tc>
          <w:tcPr>
            <w:tcW w:w="7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(15,127)</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Tax payments for stock-based compensation awards</w:t>
            </w: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(2,488)</w:t>
            </w:r>
          </w:p>
        </w:tc>
        <w:tc>
          <w:tcPr>
            <w:tcW w:w="10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(3,106)</w:t>
            </w:r>
          </w:p>
        </w:tc>
        <w:tc>
          <w:tcPr>
            <w:tcW w:w="0" w:type="dxa"/>
            <w:vAlign w:val="bottom"/>
          </w:tcPr>
          <w:p>
            <w:pPr>
              <w:spacing w:after="0"/>
              <w:rPr>
                <w:sz w:val="1"/>
                <w:szCs w:val="1"/>
                <w:color w:val="auto"/>
              </w:rPr>
            </w:pPr>
          </w:p>
        </w:tc>
      </w:tr>
      <w:tr>
        <w:trPr>
          <w:trHeight w:val="223"/>
        </w:trPr>
        <w:tc>
          <w:tcPr>
            <w:tcW w:w="7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77,385</w:t>
            </w:r>
          </w:p>
        </w:tc>
        <w:tc>
          <w:tcPr>
            <w:tcW w:w="10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41,894</w:t>
            </w:r>
          </w:p>
        </w:tc>
        <w:tc>
          <w:tcPr>
            <w:tcW w:w="0" w:type="dxa"/>
            <w:vAlign w:val="bottom"/>
          </w:tcPr>
          <w:p>
            <w:pPr>
              <w:spacing w:after="0"/>
              <w:rPr>
                <w:sz w:val="1"/>
                <w:szCs w:val="1"/>
                <w:color w:val="auto"/>
              </w:rPr>
            </w:pPr>
          </w:p>
        </w:tc>
      </w:tr>
      <w:tr>
        <w:trPr>
          <w:trHeight w:val="223"/>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decrease in cash, cash equivalents, and restricted cash</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(94,222)</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(123,143)</w:t>
            </w:r>
          </w:p>
        </w:tc>
        <w:tc>
          <w:tcPr>
            <w:tcW w:w="0" w:type="dxa"/>
            <w:vAlign w:val="bottom"/>
          </w:tcPr>
          <w:p>
            <w:pPr>
              <w:spacing w:after="0"/>
              <w:rPr>
                <w:sz w:val="1"/>
                <w:szCs w:val="1"/>
                <w:color w:val="auto"/>
              </w:rPr>
            </w:pPr>
          </w:p>
        </w:tc>
      </w:tr>
      <w:tr>
        <w:trPr>
          <w:trHeight w:val="230"/>
        </w:trPr>
        <w:tc>
          <w:tcPr>
            <w:tcW w:w="7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218,571</w:t>
            </w:r>
          </w:p>
        </w:tc>
        <w:tc>
          <w:tcPr>
            <w:tcW w:w="10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242,610</w:t>
            </w:r>
          </w:p>
        </w:tc>
        <w:tc>
          <w:tcPr>
            <w:tcW w:w="0" w:type="dxa"/>
            <w:vAlign w:val="bottom"/>
          </w:tcPr>
          <w:p>
            <w:pPr>
              <w:spacing w:after="0"/>
              <w:rPr>
                <w:sz w:val="1"/>
                <w:szCs w:val="1"/>
                <w:color w:val="auto"/>
              </w:rPr>
            </w:pPr>
          </w:p>
        </w:tc>
      </w:tr>
      <w:tr>
        <w:trPr>
          <w:trHeight w:val="248"/>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124,349</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119,467</w:t>
            </w:r>
          </w:p>
        </w:tc>
        <w:tc>
          <w:tcPr>
            <w:tcW w:w="0" w:type="dxa"/>
            <w:vAlign w:val="bottom"/>
          </w:tcPr>
          <w:p>
            <w:pPr>
              <w:spacing w:after="0"/>
              <w:rPr>
                <w:sz w:val="1"/>
                <w:szCs w:val="1"/>
                <w:color w:val="auto"/>
              </w:rPr>
            </w:pP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BEAZER HOMES USA,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Description of Business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Beazer Homes USA, Inc. (“we,” “us,” “our,” “Beazer,” “Beazer Homes” or the “Company”) is a nationally recognized homebuilder committed to building homes and communities designed to inspire sustainable and healthier living. Operating across 13 states in the West, East, and Southeast geographic regions of the United States, Beazer Homes offers a diverse portfolio of products tailored to meet the evolving needs of homebuyers that value a well-constructed and energy efficient home.</w:t>
      </w:r>
    </w:p>
    <w:p>
      <w:pPr>
        <w:spacing w:after="0" w:line="12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an additional description of our business, refer to Item 1 within our Annual Report on Form 10-K for the fiscal year ended September 30, 2025 (2025 Annual Report).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Basis of Presentation and Summary of Significant Accounting Policies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of the Company have been prepared in accordance with accounting principles generally accepted in the United States of America (GAAP) for interim financial information and in accordance with the instructions to Form 10-Q and Article 10 of Regulation S-X. The unaudited condensed consolidated financial statements do not include all of the information and disclosures required by GAAP for complete financial statements. As such, the accompanying unaudited condensed consolidated financial statements should be read in conjunction with the consolidated financial statements and notes thereto included in the Company's 2025 Annual Report. In the opinion of management, all adjustments, consisting of normal recurring adjustments, necessary for a fair presentation have been included in the accompanying unaudited condensed consolidated financial statements. The results of the Company's consolidated operations presented herein for the three months ended December 31, 2025 are not necessarily indicative of the results to be expected for the full fiscal year due to seasonal variations in our operations and other factors.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Consolidation</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include the accounts of Beazer Homes USA, Inc. and its consolidated subsidiaries. Intercompany transactions and balances have been eliminated in consolidation. Our net (loss) income is equivalent to our comprehensive (loss) income, so we have not presented a separate statement of comprehensive (loss) income.</w:t>
      </w:r>
    </w:p>
    <w:p>
      <w:pPr>
        <w:spacing w:after="0" w:line="12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fiscal year 2026 began on October 1, 2025 and ends on September 30, 2026. Our fiscal year 2025 began on October 1, 2024 and ended on September 30, 2025.</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informed estimates and judgments that affect the amounts reported in the condensed consolidated financial statements and accompanying notes. Accordingly, actual results could differ from these estimates.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 Program</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April 2025, the Company's Board of Directors approved a share repurchase program that authorizes the Company to repurchase up to $100.0 million of its outstanding common stock. The repurchase program has no expiration date. The Company repurchased 697 thousand shares of its common stock for an aggregate $15.1 million at an average price per share of $21.72 during the three months ended December 31, 2025 through open market transactions. All shares have been retired upon repurchase. No share repurchases were made during the three months ended December 31, 2024.</w:t>
      </w:r>
    </w:p>
    <w:p>
      <w:pPr>
        <w:spacing w:after="0" w:line="12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aggregate reduction to stockholders' equity related to share repurchases during the three months ended December 31, 2025 was $15.1 million. As of December 31, 2025, the remaining availability of the share repurchase program was $72.3 million.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We recognize revenue upon the transfer of promised goods to our customers in an amount that reflects the consideration to which we expect to be entitled by applying the process specified in Accounting Standards Codification (ASC) Topic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our total revenue disaggregated by revenue stream for the periods presented:</w:t>
      </w:r>
    </w:p>
    <w:p>
      <w:pPr>
        <w:spacing w:after="0" w:line="43"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79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9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9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940" w:type="dxa"/>
            <w:vAlign w:val="bottom"/>
            <w:gridSpan w:val="3"/>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792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920" w:type="dxa"/>
            <w:vAlign w:val="bottom"/>
            <w:tcBorders>
              <w:bottom w:val="single" w:sz="8" w:color="CCEEFF"/>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color w:val="auto"/>
              </w:rPr>
              <w:t>2024</w:t>
            </w:r>
          </w:p>
        </w:tc>
        <w:tc>
          <w:tcPr>
            <w:tcW w:w="0" w:type="dxa"/>
            <w:vAlign w:val="bottom"/>
          </w:tcPr>
          <w:p>
            <w:pPr>
              <w:spacing w:after="0"/>
              <w:rPr>
                <w:sz w:val="1"/>
                <w:szCs w:val="1"/>
                <w:color w:val="auto"/>
              </w:rPr>
            </w:pPr>
          </w:p>
        </w:tc>
      </w:tr>
      <w:tr>
        <w:trPr>
          <w:trHeight w:val="229"/>
        </w:trPr>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Homebuilding revenue</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359,742</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460,422</w:t>
            </w:r>
          </w:p>
        </w:tc>
        <w:tc>
          <w:tcPr>
            <w:tcW w:w="0" w:type="dxa"/>
            <w:vAlign w:val="bottom"/>
          </w:tcPr>
          <w:p>
            <w:pPr>
              <w:spacing w:after="0"/>
              <w:rPr>
                <w:sz w:val="1"/>
                <w:szCs w:val="1"/>
                <w:color w:val="auto"/>
              </w:rPr>
            </w:pPr>
          </w:p>
        </w:tc>
      </w:tr>
      <w:tr>
        <w:trPr>
          <w:trHeight w:val="229"/>
        </w:trPr>
        <w:tc>
          <w:tcPr>
            <w:tcW w:w="79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Land sales and other revenue</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3,749</w:t>
            </w:r>
          </w:p>
        </w:tc>
        <w:tc>
          <w:tcPr>
            <w:tcW w:w="10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8,531</w:t>
            </w:r>
          </w:p>
        </w:tc>
        <w:tc>
          <w:tcPr>
            <w:tcW w:w="0" w:type="dxa"/>
            <w:vAlign w:val="bottom"/>
          </w:tcPr>
          <w:p>
            <w:pPr>
              <w:spacing w:after="0"/>
              <w:rPr>
                <w:sz w:val="1"/>
                <w:szCs w:val="1"/>
                <w:color w:val="auto"/>
              </w:rPr>
            </w:pPr>
          </w:p>
        </w:tc>
      </w:tr>
      <w:tr>
        <w:trPr>
          <w:trHeight w:val="248"/>
        </w:trPr>
        <w:tc>
          <w:tcPr>
            <w:tcW w:w="7920" w:type="dxa"/>
            <w:vAlign w:val="bottom"/>
            <w:tcBorders>
              <w:bottom w:val="single" w:sz="8" w:color="CCEEFF"/>
            </w:tcBorders>
            <w:shd w:val="clear" w:color="auto" w:fill="CCEEFF"/>
          </w:tcPr>
          <w:p>
            <w:pPr>
              <w:ind w:left="200"/>
              <w:spacing w:after="0" w:line="223" w:lineRule="exact"/>
              <w:rPr>
                <w:sz w:val="20"/>
                <w:szCs w:val="20"/>
                <w:color w:val="auto"/>
              </w:rPr>
            </w:pPr>
            <w:r>
              <w:rPr>
                <w:rFonts w:ascii="Times New Roman" w:cs="Times New Roman" w:eastAsia="Times New Roman" w:hAnsi="Times New Roman"/>
                <w:sz w:val="18"/>
                <w:szCs w:val="18"/>
                <w:color w:val="auto"/>
              </w:rPr>
              <w:t>Total revenue</w:t>
            </w:r>
            <w:r>
              <w:rPr>
                <w:rFonts w:ascii="Times New Roman" w:cs="Times New Roman" w:eastAsia="Times New Roman" w:hAnsi="Times New Roman"/>
                <w:sz w:val="23"/>
                <w:szCs w:val="23"/>
                <w:color w:val="auto"/>
                <w:vertAlign w:val="superscript"/>
              </w:rPr>
              <w:t>(a)</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363,491</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468,953</w:t>
            </w:r>
          </w:p>
        </w:tc>
        <w:tc>
          <w:tcPr>
            <w:tcW w:w="0" w:type="dxa"/>
            <w:vAlign w:val="bottom"/>
          </w:tcPr>
          <w:p>
            <w:pPr>
              <w:spacing w:after="0"/>
              <w:rPr>
                <w:sz w:val="1"/>
                <w:szCs w:val="1"/>
                <w:color w:val="auto"/>
              </w:rPr>
            </w:pPr>
          </w:p>
        </w:tc>
      </w:tr>
      <w:tr>
        <w:trPr>
          <w:trHeight w:val="20"/>
        </w:trPr>
        <w:tc>
          <w:tcPr>
            <w:tcW w:w="79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color w:val="auto"/>
          <w:vertAlign w:val="superscript"/>
        </w:rPr>
        <w:t>(a)</w:t>
      </w:r>
      <w:r>
        <w:rPr>
          <w:rFonts w:ascii="Times New Roman" w:cs="Times New Roman" w:eastAsia="Times New Roman" w:hAnsi="Times New Roman"/>
          <w:sz w:val="18"/>
          <w:szCs w:val="18"/>
          <w:color w:val="auto"/>
        </w:rPr>
        <w:t xml:space="preserve"> Please see Note 14 for total revenue disaggregated by reportable segment.</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Homebuilding revenue</w:t>
      </w:r>
    </w:p>
    <w:p>
      <w:pPr>
        <w:spacing w:after="0" w:line="1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Homebuilding revenue is reported net of price concessions, including discounts on home prices, discounts on homebuilding options and option upgrades. Closing cost incentives, such as seller-paid financing or closing costs, including rate buydowns, are recognized as a cost of selling the home and are included in home construction expenses.</w:t>
      </w:r>
    </w:p>
    <w:p>
      <w:pPr>
        <w:spacing w:after="0" w:line="12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Homebuilding revenue is generally recognized when title to and possession of the home is transferred to the buyer at the closing date. The performance obligation to deliver the home is generally satisfied in less than one year from the original contract date. Home sale contract assets consist of cash from home closings held by title companies in escrow for our benefit, typically for less than five days, and are considered accounts receivable. Contract liabilities include customer deposits related to sold but undelivered homes and totaled $15.3 million and $14.3 million as of December 31, 2025 and September 30, 2025, respectively. Of the customer liabilities outstanding as of September 30, 2025, $7.1 million was recognized in revenue during the three months ended December 31, 2025 upon closing of the related homes.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Land sales and other revenue</w:t>
      </w:r>
    </w:p>
    <w:p>
      <w:pPr>
        <w:spacing w:after="0" w:line="1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Land sales revenue relates to land that does not fit within our homebuilding programs or strategic plans. Land sales typically require cash consideration on the closing date, which is generally when performance obligations are satisfied. We also provide title examinations for our homebuyers in certain markets. Revenues associated with our title operations are recognized when closing services are rendered and title insurance policies are issued, both of which generally occur as each home is closed.</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7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Income Taxes. </w:t>
      </w:r>
      <w:r>
        <w:rPr>
          <w:rFonts w:ascii="Times New Roman" w:cs="Times New Roman" w:eastAsia="Times New Roman" w:hAnsi="Times New Roman"/>
          <w:sz w:val="18"/>
          <w:szCs w:val="18"/>
          <w:color w:val="auto"/>
        </w:rPr>
        <w:t>In December 2023, the Financial Accounting Standards Board (FASB) issued Accounting Standards Update (ASU) 2023-09,</w:t>
      </w:r>
      <w:r>
        <w:rPr>
          <w:rFonts w:ascii="Times New Roman" w:cs="Times New Roman" w:eastAsia="Times New Roman" w:hAnsi="Times New Roman"/>
          <w:sz w:val="18"/>
          <w:szCs w:val="18"/>
          <w:i w:val="1"/>
          <w:iCs w:val="1"/>
          <w:color w:val="auto"/>
        </w:rPr>
        <w:t xml:space="preserve"> Income Taxes (Topic 740): Improvements to Income Tax Disclosures</w:t>
      </w:r>
      <w:r>
        <w:rPr>
          <w:rFonts w:ascii="Times New Roman" w:cs="Times New Roman" w:eastAsia="Times New Roman" w:hAnsi="Times New Roman"/>
          <w:sz w:val="18"/>
          <w:szCs w:val="18"/>
          <w:color w:val="auto"/>
        </w:rPr>
        <w:t>. ASU 2023-09 is intended to enhance the transparency and decision usefulness of income tax</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disclosures. The amendments in ASU 2023-09 address investor requests for enhanced income tax information primarily through changes to the rate reconciliation and income taxes paid information. ASU 2023-09 will be effective for our fiscal year ending September 30, 2026. Early adoption is permitted and the amendments in this update should be applied on a prospective basis. The Company is currently evaluating the impact that the adoption of ASU 2023-09 may have on our consolidated financial statements and disclosures.</w:t>
      </w:r>
    </w:p>
    <w:p>
      <w:pPr>
        <w:spacing w:after="0" w:line="12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Income Statement Disclosures. </w:t>
      </w:r>
      <w:r>
        <w:rPr>
          <w:rFonts w:ascii="Times New Roman" w:cs="Times New Roman" w:eastAsia="Times New Roman" w:hAnsi="Times New Roman"/>
          <w:sz w:val="18"/>
          <w:szCs w:val="18"/>
          <w:color w:val="auto"/>
        </w:rPr>
        <w:t>In November 2024, the FASB issued ASU 2024-03,</w:t>
      </w:r>
      <w:r>
        <w:rPr>
          <w:rFonts w:ascii="Times New Roman" w:cs="Times New Roman" w:eastAsia="Times New Roman" w:hAnsi="Times New Roman"/>
          <w:sz w:val="18"/>
          <w:szCs w:val="18"/>
          <w:i w:val="1"/>
          <w:iCs w:val="1"/>
          <w:color w:val="auto"/>
        </w:rPr>
        <w:t xml:space="preserve"> Income Statement—Reporting Comprehensive Income—Expense Disaggregation Disclosures (Subtopic 220-40): Disaggregation of Income Statement Expenses</w:t>
      </w:r>
      <w:r>
        <w:rPr>
          <w:rFonts w:ascii="Times New Roman" w:cs="Times New Roman" w:eastAsia="Times New Roman" w:hAnsi="Times New Roman"/>
          <w:sz w:val="18"/>
          <w:szCs w:val="18"/>
          <w:color w:val="auto"/>
        </w:rPr>
        <w:t>. ASU 2024-03 requires disclosure of additional information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about specific expense categories in the notes to the financial statements. ASU 2024-03 will be effective for our fiscal year ending September 30, 2028. Early adoption is permitted and the amendments in this update should be applied either prospectively to financial statements issued for reporting periods after the effective date of this ASU or retrospectively to any or all prior periods presented in the financial statements. The Company is currently evaluating the impact that the adoption of ASU 2024-03 may have on our consolidated financial statements and disclosures.</w:t>
      </w:r>
    </w:p>
    <w:p>
      <w:pPr>
        <w:spacing w:after="0" w:line="12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Credit Losses. </w:t>
      </w:r>
      <w:r>
        <w:rPr>
          <w:rFonts w:ascii="Times New Roman" w:cs="Times New Roman" w:eastAsia="Times New Roman" w:hAnsi="Times New Roman"/>
          <w:sz w:val="18"/>
          <w:szCs w:val="18"/>
          <w:color w:val="auto"/>
        </w:rPr>
        <w:t>In July 2025, the FASB issued ASU 2025-05,</w:t>
      </w:r>
      <w:r>
        <w:rPr>
          <w:rFonts w:ascii="Times New Roman" w:cs="Times New Roman" w:eastAsia="Times New Roman" w:hAnsi="Times New Roman"/>
          <w:sz w:val="18"/>
          <w:szCs w:val="18"/>
          <w:i w:val="1"/>
          <w:iCs w:val="1"/>
          <w:color w:val="auto"/>
        </w:rPr>
        <w:t xml:space="preserve"> Financial Instruments – Credit Losses (Topic 326): Measurement of Credit Losses for Accounts Receivable and Contract Assets, </w:t>
      </w:r>
      <w:r>
        <w:rPr>
          <w:rFonts w:ascii="Times New Roman" w:cs="Times New Roman" w:eastAsia="Times New Roman" w:hAnsi="Times New Roman"/>
          <w:sz w:val="18"/>
          <w:szCs w:val="18"/>
          <w:color w:val="auto"/>
        </w:rPr>
        <w:t>which allows entities to use the practical expedient to estimate expected credit losses. ASU 2025-05 will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effective for our fiscal year ending September 30, 2027 and interim reporting periods within this annual reporting period, with early adoption permitted. The Company is currently evaluating the impact that the adoption of ASU 2025-05 may have on our consolidated financial statements and disclosures.</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Internal-Use Software. </w:t>
      </w:r>
      <w:r>
        <w:rPr>
          <w:rFonts w:ascii="Times New Roman" w:cs="Times New Roman" w:eastAsia="Times New Roman" w:hAnsi="Times New Roman"/>
          <w:sz w:val="18"/>
          <w:szCs w:val="18"/>
          <w:color w:val="auto"/>
        </w:rPr>
        <w:t>In September 2025, the FASB issued ASU 2025-06,</w:t>
      </w:r>
      <w:r>
        <w:rPr>
          <w:rFonts w:ascii="Times New Roman" w:cs="Times New Roman" w:eastAsia="Times New Roman" w:hAnsi="Times New Roman"/>
          <w:sz w:val="18"/>
          <w:szCs w:val="18"/>
          <w:i w:val="1"/>
          <w:iCs w:val="1"/>
          <w:color w:val="auto"/>
        </w:rPr>
        <w:t xml:space="preserve"> Intangibles—Goodwill and Other—Internal-Use Software (Subtopic 350-40): Targeted Improvements to the Accounting for Internal-Use Software, </w:t>
      </w:r>
      <w:r>
        <w:rPr>
          <w:rFonts w:ascii="Times New Roman" w:cs="Times New Roman" w:eastAsia="Times New Roman" w:hAnsi="Times New Roman"/>
          <w:sz w:val="18"/>
          <w:szCs w:val="18"/>
          <w:color w:val="auto"/>
        </w:rPr>
        <w:t>which modernizes the accounting for the costs of internal-use software by removing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all references to software development project stages so that the guidance is neutral to different software development methods. ASU 2025-06 will be effective for our fiscal year ending September 30, 2029 and interim reporting periods within this annual reporting period. Early adoption is permitted and the amendments in this update may be applied on a retrospective, modified transition, or prospective basis. The Company is currently evaluating the impact that the adoption of ASU 2025-06 may have on our consolidated financial statements and disclosures.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Supplemental Cash Flow Information</w:t>
      </w:r>
    </w:p>
    <w:p>
      <w:pPr>
        <w:spacing w:after="0" w:line="17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8"/>
          <w:szCs w:val="18"/>
          <w:color w:val="auto"/>
        </w:rPr>
        <w:t>The following table presents supplemental disclosure of non-cash and cash activity as well as a reconciliation of total cash balances between the condensed consolidated balance sheets and condensed consolidated statements of cash flows for the periods presented:</w:t>
      </w:r>
    </w:p>
    <w:p>
      <w:pPr>
        <w:ind w:left="892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2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94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940" w:type="dxa"/>
            <w:vAlign w:val="bottom"/>
            <w:tcBorders>
              <w:bottom w:val="single" w:sz="8" w:color="CCEEFF"/>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color w:val="auto"/>
              </w:rPr>
              <w:t>2024</w:t>
            </w:r>
          </w:p>
        </w:tc>
        <w:tc>
          <w:tcPr>
            <w:tcW w:w="0" w:type="dxa"/>
            <w:vAlign w:val="bottom"/>
          </w:tcPr>
          <w:p>
            <w:pPr>
              <w:spacing w:after="0"/>
              <w:rPr>
                <w:sz w:val="1"/>
                <w:szCs w:val="1"/>
                <w:color w:val="auto"/>
              </w:rPr>
            </w:pPr>
          </w:p>
        </w:tc>
      </w:tr>
      <w:tr>
        <w:trPr>
          <w:trHeight w:val="216"/>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 of non-cash activity:</w:t>
            </w: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940" w:type="dxa"/>
            <w:vAlign w:val="bottom"/>
          </w:tcPr>
          <w:p>
            <w:pPr>
              <w:ind w:left="360"/>
              <w:spacing w:after="0" w:line="230" w:lineRule="exact"/>
              <w:rPr>
                <w:sz w:val="20"/>
                <w:szCs w:val="20"/>
                <w:color w:val="auto"/>
              </w:rPr>
            </w:pPr>
            <w:r>
              <w:rPr>
                <w:rFonts w:ascii="Times New Roman" w:cs="Times New Roman" w:eastAsia="Times New Roman" w:hAnsi="Times New Roman"/>
                <w:sz w:val="18"/>
                <w:szCs w:val="18"/>
                <w:color w:val="auto"/>
              </w:rPr>
              <w:t>Increase in operating lease right-of-use assets</w:t>
            </w:r>
            <w:r>
              <w:rPr>
                <w:rFonts w:ascii="Times New Roman" w:cs="Times New Roman" w:eastAsia="Times New Roman" w:hAnsi="Times New Roman"/>
                <w:sz w:val="23"/>
                <w:szCs w:val="23"/>
                <w:color w:val="auto"/>
                <w:vertAlign w:val="superscript"/>
              </w:rPr>
              <w:t>(a)</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1,123</w:t>
            </w:r>
          </w:p>
        </w:tc>
        <w:tc>
          <w:tcPr>
            <w:tcW w:w="100" w:type="dxa"/>
            <w:vAlign w:val="bottom"/>
          </w:tcPr>
          <w:p>
            <w:pPr>
              <w:spacing w:after="0"/>
              <w:rPr>
                <w:sz w:val="19"/>
                <w:szCs w:val="19"/>
                <w:color w:val="auto"/>
              </w:rPr>
            </w:pP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w:t>
            </w:r>
          </w:p>
        </w:tc>
        <w:tc>
          <w:tcPr>
            <w:tcW w:w="0" w:type="dxa"/>
            <w:vAlign w:val="bottom"/>
          </w:tcPr>
          <w:p>
            <w:pPr>
              <w:spacing w:after="0"/>
              <w:rPr>
                <w:sz w:val="1"/>
                <w:szCs w:val="1"/>
                <w:color w:val="auto"/>
              </w:rPr>
            </w:pPr>
          </w:p>
        </w:tc>
      </w:tr>
      <w:tr>
        <w:trPr>
          <w:trHeight w:val="229"/>
        </w:trPr>
        <w:tc>
          <w:tcPr>
            <w:tcW w:w="7940" w:type="dxa"/>
            <w:vAlign w:val="bottom"/>
            <w:shd w:val="clear" w:color="auto" w:fill="CCEEFF"/>
          </w:tcPr>
          <w:p>
            <w:pPr>
              <w:ind w:left="360"/>
              <w:spacing w:after="0" w:line="230" w:lineRule="exact"/>
              <w:rPr>
                <w:sz w:val="20"/>
                <w:szCs w:val="20"/>
                <w:color w:val="auto"/>
              </w:rPr>
            </w:pPr>
            <w:r>
              <w:rPr>
                <w:rFonts w:ascii="Times New Roman" w:cs="Times New Roman" w:eastAsia="Times New Roman" w:hAnsi="Times New Roman"/>
                <w:sz w:val="18"/>
                <w:szCs w:val="18"/>
                <w:color w:val="auto"/>
              </w:rPr>
              <w:t>Increase in operating lease liabilities</w:t>
            </w:r>
            <w:r>
              <w:rPr>
                <w:rFonts w:ascii="Times New Roman" w:cs="Times New Roman" w:eastAsia="Times New Roman" w:hAnsi="Times New Roman"/>
                <w:sz w:val="23"/>
                <w:szCs w:val="23"/>
                <w:color w:val="auto"/>
                <w:vertAlign w:val="superscript"/>
              </w:rPr>
              <w:t>(a)</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1,123</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w:t>
            </w:r>
          </w:p>
        </w:tc>
        <w:tc>
          <w:tcPr>
            <w:tcW w:w="0" w:type="dxa"/>
            <w:vAlign w:val="bottom"/>
          </w:tcPr>
          <w:p>
            <w:pPr>
              <w:spacing w:after="0"/>
              <w:rPr>
                <w:sz w:val="1"/>
                <w:szCs w:val="1"/>
                <w:color w:val="auto"/>
              </w:rPr>
            </w:pPr>
          </w:p>
        </w:tc>
      </w:tr>
      <w:tr>
        <w:trPr>
          <w:trHeight w:val="230"/>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 of cash activity:</w:t>
            </w: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payments</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25,584</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26,049</w:t>
            </w:r>
          </w:p>
        </w:tc>
        <w:tc>
          <w:tcPr>
            <w:tcW w:w="0" w:type="dxa"/>
            <w:vAlign w:val="bottom"/>
          </w:tcPr>
          <w:p>
            <w:pPr>
              <w:spacing w:after="0"/>
              <w:rPr>
                <w:sz w:val="1"/>
                <w:szCs w:val="1"/>
                <w:color w:val="auto"/>
              </w:rPr>
            </w:pPr>
          </w:p>
        </w:tc>
      </w:tr>
      <w:tr>
        <w:trPr>
          <w:trHeight w:val="229"/>
        </w:trPr>
        <w:tc>
          <w:tcPr>
            <w:tcW w:w="7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Income tax payments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30"/>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Reconciliation of cash, cash equivalents, and restricted cash:</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120,757</w:t>
            </w:r>
          </w:p>
        </w:tc>
        <w:tc>
          <w:tcPr>
            <w:tcW w:w="100" w:type="dxa"/>
            <w:vAlign w:val="bottom"/>
          </w:tcPr>
          <w:p>
            <w:pPr>
              <w:spacing w:after="0"/>
              <w:rPr>
                <w:sz w:val="19"/>
                <w:szCs w:val="19"/>
                <w:color w:val="auto"/>
              </w:rPr>
            </w:pP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80,379</w:t>
            </w:r>
          </w:p>
        </w:tc>
        <w:tc>
          <w:tcPr>
            <w:tcW w:w="0" w:type="dxa"/>
            <w:vAlign w:val="bottom"/>
          </w:tcPr>
          <w:p>
            <w:pPr>
              <w:spacing w:after="0"/>
              <w:rPr>
                <w:sz w:val="1"/>
                <w:szCs w:val="1"/>
                <w:color w:val="auto"/>
              </w:rPr>
            </w:pPr>
          </w:p>
        </w:tc>
      </w:tr>
      <w:tr>
        <w:trPr>
          <w:trHeight w:val="229"/>
        </w:trPr>
        <w:tc>
          <w:tcPr>
            <w:tcW w:w="7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Restricted cash</w:t>
            </w: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3,592</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39,088</w:t>
            </w:r>
          </w:p>
        </w:tc>
        <w:tc>
          <w:tcPr>
            <w:tcW w:w="0" w:type="dxa"/>
            <w:vAlign w:val="bottom"/>
          </w:tcPr>
          <w:p>
            <w:pPr>
              <w:spacing w:after="0"/>
              <w:rPr>
                <w:sz w:val="1"/>
                <w:szCs w:val="1"/>
                <w:color w:val="auto"/>
              </w:rPr>
            </w:pPr>
          </w:p>
        </w:tc>
      </w:tr>
      <w:tr>
        <w:trPr>
          <w:trHeight w:val="223"/>
        </w:trPr>
        <w:tc>
          <w:tcPr>
            <w:tcW w:w="7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cash, cash equivalents, and restricted cash shown in the statement of cash flows</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124,349</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119,467</w:t>
            </w:r>
          </w:p>
        </w:tc>
        <w:tc>
          <w:tcPr>
            <w:tcW w:w="0" w:type="dxa"/>
            <w:vAlign w:val="bottom"/>
          </w:tcPr>
          <w:p>
            <w:pPr>
              <w:spacing w:after="0"/>
              <w:rPr>
                <w:sz w:val="1"/>
                <w:szCs w:val="1"/>
                <w:color w:val="auto"/>
              </w:rPr>
            </w:pPr>
          </w:p>
        </w:tc>
      </w:tr>
      <w:tr>
        <w:trPr>
          <w:trHeight w:val="21"/>
        </w:trPr>
        <w:tc>
          <w:tcPr>
            <w:tcW w:w="79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ind w:left="160" w:hanging="152"/>
        <w:spacing w:after="0"/>
        <w:tabs>
          <w:tab w:leader="none" w:pos="160" w:val="left"/>
        </w:tabs>
        <w:numPr>
          <w:ilvl w:val="0"/>
          <w:numId w:val="3"/>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Represents leases renewed or additional leases that commenced during the three months ended December 31, 2025 and 2024.</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Inventory</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our inventory are as follows as of December 31, 2025 and September 30, 2025:</w:t>
      </w:r>
    </w:p>
    <w:p>
      <w:pPr>
        <w:spacing w:after="0" w:line="43"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69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00" w:type="dxa"/>
            <w:vAlign w:val="bottom"/>
          </w:tcPr>
          <w:p>
            <w:pPr>
              <w:spacing w:after="0"/>
              <w:rPr>
                <w:sz w:val="16"/>
                <w:szCs w:val="16"/>
                <w:color w:val="auto"/>
              </w:rPr>
            </w:pPr>
          </w:p>
        </w:tc>
        <w:tc>
          <w:tcPr>
            <w:tcW w:w="20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As of December 31, 2025</w:t>
            </w:r>
          </w:p>
        </w:tc>
        <w:tc>
          <w:tcPr>
            <w:tcW w:w="200" w:type="dxa"/>
            <w:vAlign w:val="bottom"/>
          </w:tcPr>
          <w:p>
            <w:pPr>
              <w:spacing w:after="0"/>
              <w:rPr>
                <w:sz w:val="16"/>
                <w:szCs w:val="16"/>
                <w:color w:val="auto"/>
              </w:rPr>
            </w:pPr>
          </w:p>
        </w:tc>
        <w:tc>
          <w:tcPr>
            <w:tcW w:w="1880" w:type="dxa"/>
            <w:vAlign w:val="bottom"/>
          </w:tcPr>
          <w:p>
            <w:pPr>
              <w:jc w:val="right"/>
              <w:ind w:right="192"/>
              <w:spacing w:after="0"/>
              <w:rPr>
                <w:sz w:val="20"/>
                <w:szCs w:val="20"/>
                <w:color w:val="auto"/>
              </w:rPr>
            </w:pPr>
            <w:r>
              <w:rPr>
                <w:rFonts w:ascii="Times New Roman" w:cs="Times New Roman" w:eastAsia="Times New Roman" w:hAnsi="Times New Roman"/>
                <w:sz w:val="14"/>
                <w:szCs w:val="14"/>
                <w:color w:val="auto"/>
              </w:rPr>
              <w:t>As of September 30, 2025</w:t>
            </w:r>
          </w:p>
        </w:tc>
      </w:tr>
      <w:tr>
        <w:trPr>
          <w:trHeight w:val="23"/>
        </w:trPr>
        <w:tc>
          <w:tcPr>
            <w:tcW w:w="69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223"/>
        </w:trPr>
        <w:tc>
          <w:tcPr>
            <w:tcW w:w="6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Homes under construction</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701,010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692,327</w:t>
            </w:r>
          </w:p>
        </w:tc>
      </w:tr>
      <w:tr>
        <w:trPr>
          <w:trHeight w:val="229"/>
        </w:trPr>
        <w:tc>
          <w:tcPr>
            <w:tcW w:w="6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Land under development</w:t>
            </w:r>
          </w:p>
        </w:tc>
        <w:tc>
          <w:tcPr>
            <w:tcW w:w="20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1,090,862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1,065,702</w:t>
            </w:r>
          </w:p>
        </w:tc>
      </w:tr>
      <w:tr>
        <w:trPr>
          <w:trHeight w:val="230"/>
        </w:trPr>
        <w:tc>
          <w:tcPr>
            <w:tcW w:w="6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 held for future development</w:t>
            </w:r>
          </w:p>
        </w:tc>
        <w:tc>
          <w:tcPr>
            <w:tcW w:w="20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19,489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19,489</w:t>
            </w:r>
          </w:p>
        </w:tc>
      </w:tr>
      <w:tr>
        <w:trPr>
          <w:trHeight w:val="229"/>
        </w:trPr>
        <w:tc>
          <w:tcPr>
            <w:tcW w:w="6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Land held for sale</w:t>
            </w:r>
          </w:p>
        </w:tc>
        <w:tc>
          <w:tcPr>
            <w:tcW w:w="20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73,218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47,368</w:t>
            </w:r>
          </w:p>
        </w:tc>
      </w:tr>
      <w:tr>
        <w:trPr>
          <w:trHeight w:val="229"/>
        </w:trPr>
        <w:tc>
          <w:tcPr>
            <w:tcW w:w="6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Capitalized interest</w:t>
            </w:r>
          </w:p>
        </w:tc>
        <w:tc>
          <w:tcPr>
            <w:tcW w:w="20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139,678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131,845</w:t>
            </w:r>
          </w:p>
        </w:tc>
      </w:tr>
      <w:tr>
        <w:trPr>
          <w:trHeight w:val="230"/>
        </w:trPr>
        <w:tc>
          <w:tcPr>
            <w:tcW w:w="6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Model homes</w:t>
            </w:r>
          </w:p>
        </w:tc>
        <w:tc>
          <w:tcPr>
            <w:tcW w:w="20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82,467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72,702</w:t>
            </w:r>
          </w:p>
        </w:tc>
      </w:tr>
      <w:tr>
        <w:trPr>
          <w:trHeight w:val="229"/>
        </w:trPr>
        <w:tc>
          <w:tcPr>
            <w:tcW w:w="6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 not owned under option agreements</w:t>
            </w:r>
          </w:p>
        </w:tc>
        <w:tc>
          <w:tcPr>
            <w:tcW w:w="200" w:type="dxa"/>
            <w:vAlign w:val="bottom"/>
            <w:tcBorders>
              <w:bottom w:val="single" w:sz="8" w:color="auto"/>
            </w:tcBorders>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34,042</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9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inventory</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2,140,766</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2,029,433</w:t>
            </w:r>
          </w:p>
        </w:tc>
      </w:tr>
      <w:tr>
        <w:trPr>
          <w:trHeight w:val="20"/>
        </w:trPr>
        <w:tc>
          <w:tcPr>
            <w:tcW w:w="69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Homes under construction include homes substantially finished and ready for delivery and homes in various stages of construction, including costs of the underlying lot, direct construction costs and capitalized indirect costs. As of December 31, 2025, we had 1,868 homes under construction, including 1,091 speculative (spec) homes totaling $411.8 million (569 in-process spec homes totaling $181.9 million, and 522 finished spec homes totaling $229.9 million). As of September 30, 2025, we had 1,800 homes under construction, including 1,078 spec homes totaling $417.4 million (577 in-process spec homes totaling $201.8 million, and 501 finished spec homes totaling $215.6 million).</w:t>
      </w:r>
    </w:p>
    <w:p>
      <w:pPr>
        <w:spacing w:after="0" w:line="1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Land under development consists principally of land acquisition, land development and other common costs. These land-related costs are allocated to individual lots on a pro-rata basis, and the lot costs are transferred to homes under construction when home construction begins for the respective lots. Certain of the fully developed lots in this category are reserved by a customer deposit or sales contract.</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Land held for future development consists of communities for which construction and development activities are expected to occur in the future or have been idled and are stated at cost unless facts and circumstances indicate that the carrying value of the assets may not be recoverable. All applicable carrying costs, such as interest and real estate taxes, are expensed as incurred.</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Land held for sale includes land and lots that do not fit within our homebuilding programs or strategic plans in certain markets, and land is classified as held for sale once certain criteria are met (refer to Note 2 to the consolidated financial statements within our 2025 Annual Report). These assets are recorded at the lower of the carrying value or fair value less cost to sell.</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amount of interest we are able to capitalize depends on our qualified inventory balance, which considers the status of our inventory holdings. Our qualified inventory balance includes the majority of our homes under construction and land under development but excludes land held for future development and land held for sale (see Note 5 for additional information on capitalized interest).</w:t>
      </w:r>
    </w:p>
    <w:p>
      <w:pPr>
        <w:spacing w:after="0" w:line="12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Land not owned under option agreements includes the remaining contractual purchase price for certain land and lot option agreements that we account for as financing arrangements pursuant to ASC Subtopic 470-40, </w:t>
      </w:r>
      <w:r>
        <w:rPr>
          <w:rFonts w:ascii="Times New Roman" w:cs="Times New Roman" w:eastAsia="Times New Roman" w:hAnsi="Times New Roman"/>
          <w:sz w:val="18"/>
          <w:szCs w:val="18"/>
          <w:i w:val="1"/>
          <w:iCs w:val="1"/>
          <w:color w:val="auto"/>
        </w:rPr>
        <w:t>Product Financing Arrangements</w:t>
      </w:r>
      <w:r>
        <w:rPr>
          <w:rFonts w:ascii="Times New Roman" w:cs="Times New Roman" w:eastAsia="Times New Roman" w:hAnsi="Times New Roman"/>
          <w:sz w:val="18"/>
          <w:szCs w:val="18"/>
          <w:color w:val="auto"/>
        </w:rPr>
        <w:t>, which occurs when we are economically compelled to exercise the option and purchase the land, even though the Company has no direct obligation to pay these future amounts. For these contracts, the remaining purchase price is recorded within land not owned under option agreements with a corresponding liability recorded within obligations related to land not owned under option agreements within other liabilities on our condensed consolidated balance sheet.</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inventory by reportable segment and Corporate and unallocated is presented in the table below as of December 31, 2025 and September 30, 2025:</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4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40" w:type="dxa"/>
            <w:vAlign w:val="bottom"/>
          </w:tcPr>
          <w:p>
            <w:pPr>
              <w:spacing w:after="0"/>
              <w:rPr>
                <w:sz w:val="13"/>
                <w:szCs w:val="13"/>
                <w:color w:val="auto"/>
              </w:rPr>
            </w:pPr>
          </w:p>
        </w:tc>
        <w:tc>
          <w:tcPr>
            <w:tcW w:w="158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Projects in</w:t>
            </w:r>
          </w:p>
        </w:tc>
        <w:tc>
          <w:tcPr>
            <w:tcW w:w="180" w:type="dxa"/>
            <w:vAlign w:val="bottom"/>
          </w:tcPr>
          <w:p>
            <w:pPr>
              <w:spacing w:after="0"/>
              <w:rPr>
                <w:sz w:val="13"/>
                <w:szCs w:val="13"/>
                <w:color w:val="auto"/>
              </w:rPr>
            </w:pPr>
          </w:p>
        </w:tc>
        <w:tc>
          <w:tcPr>
            <w:tcW w:w="17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Land Held for Future</w:t>
            </w:r>
          </w:p>
        </w:tc>
        <w:tc>
          <w:tcPr>
            <w:tcW w:w="220" w:type="dxa"/>
            <w:vAlign w:val="bottom"/>
          </w:tcPr>
          <w:p>
            <w:pPr>
              <w:spacing w:after="0"/>
              <w:rPr>
                <w:sz w:val="13"/>
                <w:szCs w:val="13"/>
                <w:color w:val="auto"/>
              </w:rPr>
            </w:pPr>
          </w:p>
        </w:tc>
        <w:tc>
          <w:tcPr>
            <w:tcW w:w="17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Land Held for Sale</w:t>
            </w:r>
          </w:p>
        </w:tc>
        <w:tc>
          <w:tcPr>
            <w:tcW w:w="360" w:type="dxa"/>
            <w:vAlign w:val="bottom"/>
          </w:tcPr>
          <w:p>
            <w:pPr>
              <w:spacing w:after="0"/>
              <w:rPr>
                <w:sz w:val="13"/>
                <w:szCs w:val="13"/>
                <w:color w:val="auto"/>
              </w:rPr>
            </w:pPr>
          </w:p>
        </w:tc>
        <w:tc>
          <w:tcPr>
            <w:tcW w:w="1460" w:type="dxa"/>
            <w:vAlign w:val="bottom"/>
          </w:tcPr>
          <w:p>
            <w:pPr>
              <w:jc w:val="right"/>
              <w:ind w:right="67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03"/>
        </w:trPr>
        <w:tc>
          <w:tcPr>
            <w:tcW w:w="364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1580" w:type="dxa"/>
            <w:vAlign w:val="bottom"/>
            <w:gridSpan w:val="2"/>
          </w:tcPr>
          <w:p>
            <w:pPr>
              <w:ind w:left="240"/>
              <w:spacing w:after="0" w:line="202" w:lineRule="exact"/>
              <w:rPr>
                <w:sz w:val="20"/>
                <w:szCs w:val="20"/>
                <w:color w:val="auto"/>
              </w:rPr>
            </w:pPr>
            <w:r>
              <w:rPr>
                <w:rFonts w:ascii="Times New Roman" w:cs="Times New Roman" w:eastAsia="Times New Roman" w:hAnsi="Times New Roman"/>
                <w:sz w:val="14"/>
                <w:szCs w:val="14"/>
                <w:b w:val="1"/>
                <w:bCs w:val="1"/>
                <w:color w:val="auto"/>
              </w:rPr>
              <w:t>Progress</w:t>
            </w:r>
            <w:r>
              <w:rPr>
                <w:rFonts w:ascii="Times New Roman" w:cs="Times New Roman" w:eastAsia="Times New Roman" w:hAnsi="Times New Roman"/>
                <w:sz w:val="18"/>
                <w:szCs w:val="18"/>
                <w:b w:val="1"/>
                <w:bCs w:val="1"/>
                <w:color w:val="auto"/>
                <w:vertAlign w:val="superscript"/>
              </w:rPr>
              <w:t>(a)</w:t>
            </w:r>
          </w:p>
        </w:tc>
        <w:tc>
          <w:tcPr>
            <w:tcW w:w="180" w:type="dxa"/>
            <w:vAlign w:val="bottom"/>
          </w:tcPr>
          <w:p>
            <w:pPr>
              <w:spacing w:after="0"/>
              <w:rPr>
                <w:sz w:val="17"/>
                <w:szCs w:val="17"/>
                <w:color w:val="auto"/>
              </w:rPr>
            </w:pPr>
          </w:p>
        </w:tc>
        <w:tc>
          <w:tcPr>
            <w:tcW w:w="17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Development</w:t>
            </w:r>
          </w:p>
        </w:tc>
        <w:tc>
          <w:tcPr>
            <w:tcW w:w="220" w:type="dxa"/>
            <w:vAlign w:val="bottom"/>
          </w:tcPr>
          <w:p>
            <w:pPr>
              <w:spacing w:after="0"/>
              <w:rPr>
                <w:sz w:val="17"/>
                <w:szCs w:val="17"/>
                <w:color w:val="auto"/>
              </w:rPr>
            </w:pPr>
          </w:p>
        </w:tc>
        <w:tc>
          <w:tcPr>
            <w:tcW w:w="1700" w:type="dxa"/>
            <w:vAlign w:val="bottom"/>
            <w:gridSpan w:val="2"/>
            <w:vMerge w:val="continue"/>
          </w:tcPr>
          <w:p>
            <w:pPr>
              <w:spacing w:after="0"/>
              <w:rPr>
                <w:sz w:val="17"/>
                <w:szCs w:val="17"/>
                <w:color w:val="auto"/>
              </w:rPr>
            </w:pPr>
          </w:p>
        </w:tc>
        <w:tc>
          <w:tcPr>
            <w:tcW w:w="360" w:type="dxa"/>
            <w:vAlign w:val="bottom"/>
          </w:tcPr>
          <w:p>
            <w:pPr>
              <w:spacing w:after="0"/>
              <w:rPr>
                <w:sz w:val="17"/>
                <w:szCs w:val="17"/>
                <w:color w:val="auto"/>
              </w:rPr>
            </w:pPr>
          </w:p>
        </w:tc>
        <w:tc>
          <w:tcPr>
            <w:tcW w:w="146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Inventory</w:t>
            </w:r>
          </w:p>
        </w:tc>
        <w:tc>
          <w:tcPr>
            <w:tcW w:w="0" w:type="dxa"/>
            <w:vAlign w:val="bottom"/>
          </w:tcPr>
          <w:p>
            <w:pPr>
              <w:spacing w:after="0"/>
              <w:rPr>
                <w:sz w:val="1"/>
                <w:szCs w:val="1"/>
                <w:color w:val="auto"/>
              </w:rPr>
            </w:pPr>
          </w:p>
        </w:tc>
      </w:tr>
      <w:tr>
        <w:trPr>
          <w:trHeight w:val="210"/>
        </w:trPr>
        <w:tc>
          <w:tcPr>
            <w:tcW w:w="3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December 31, 2025</w:t>
            </w:r>
          </w:p>
        </w:tc>
        <w:tc>
          <w:tcPr>
            <w:tcW w:w="34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West</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969,564</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3,483</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55,828</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1,028,875</w:t>
            </w:r>
          </w:p>
        </w:tc>
        <w:tc>
          <w:tcPr>
            <w:tcW w:w="0" w:type="dxa"/>
            <w:vAlign w:val="bottom"/>
          </w:tcPr>
          <w:p>
            <w:pPr>
              <w:spacing w:after="0"/>
              <w:rPr>
                <w:sz w:val="1"/>
                <w:szCs w:val="1"/>
                <w:color w:val="auto"/>
              </w:rPr>
            </w:pPr>
          </w:p>
        </w:tc>
      </w:tr>
      <w:tr>
        <w:trPr>
          <w:trHeight w:val="229"/>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East</w:t>
            </w:r>
          </w:p>
        </w:tc>
        <w:tc>
          <w:tcPr>
            <w:tcW w:w="3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398,335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10,888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12,127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421,350</w:t>
            </w:r>
          </w:p>
        </w:tc>
        <w:tc>
          <w:tcPr>
            <w:tcW w:w="0" w:type="dxa"/>
            <w:vAlign w:val="bottom"/>
          </w:tcPr>
          <w:p>
            <w:pPr>
              <w:spacing w:after="0"/>
              <w:rPr>
                <w:sz w:val="1"/>
                <w:szCs w:val="1"/>
                <w:color w:val="auto"/>
              </w:rPr>
            </w:pPr>
          </w:p>
        </w:tc>
      </w:tr>
      <w:tr>
        <w:trPr>
          <w:trHeight w:val="230"/>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Southeast</w:t>
            </w:r>
          </w:p>
        </w:tc>
        <w:tc>
          <w:tcPr>
            <w:tcW w:w="3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455,253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5,118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5,263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465,634</w:t>
            </w:r>
          </w:p>
        </w:tc>
        <w:tc>
          <w:tcPr>
            <w:tcW w:w="0" w:type="dxa"/>
            <w:vAlign w:val="bottom"/>
          </w:tcPr>
          <w:p>
            <w:pPr>
              <w:spacing w:after="0"/>
              <w:rPr>
                <w:sz w:val="1"/>
                <w:szCs w:val="1"/>
                <w:color w:val="auto"/>
              </w:rPr>
            </w:pPr>
          </w:p>
        </w:tc>
      </w:tr>
      <w:tr>
        <w:trPr>
          <w:trHeight w:val="283"/>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Corporate and unallocated</w:t>
            </w:r>
            <w:r>
              <w:rPr>
                <w:rFonts w:ascii="Times New Roman" w:cs="Times New Roman" w:eastAsia="Times New Roman" w:hAnsi="Times New Roman"/>
                <w:sz w:val="23"/>
                <w:szCs w:val="23"/>
                <w:b w:val="1"/>
                <w:bCs w:val="1"/>
                <w:color w:val="auto"/>
                <w:vertAlign w:val="superscript"/>
              </w:rPr>
              <w:t>(b)</w:t>
            </w:r>
          </w:p>
        </w:tc>
        <w:tc>
          <w:tcPr>
            <w:tcW w:w="340" w:type="dxa"/>
            <w:vAlign w:val="bottom"/>
            <w:shd w:val="clear" w:color="auto" w:fill="CCEEFF"/>
          </w:tcPr>
          <w:p>
            <w:pPr>
              <w:spacing w:after="0"/>
              <w:rPr>
                <w:sz w:val="24"/>
                <w:szCs w:val="24"/>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224,907</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shd w:val="clear" w:color="auto" w:fill="CCEEFF"/>
          </w:tcPr>
          <w:p>
            <w:pPr>
              <w:spacing w:after="0"/>
              <w:rPr>
                <w:sz w:val="24"/>
                <w:szCs w:val="24"/>
                <w:color w:val="auto"/>
              </w:rPr>
            </w:pPr>
          </w:p>
        </w:tc>
        <w:tc>
          <w:tcPr>
            <w:tcW w:w="1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shd w:val="clear" w:color="auto" w:fill="CCEEFF"/>
          </w:tcPr>
          <w:p>
            <w:pPr>
              <w:spacing w:after="0"/>
              <w:rPr>
                <w:sz w:val="24"/>
                <w:szCs w:val="24"/>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224,907</w:t>
            </w:r>
          </w:p>
        </w:tc>
        <w:tc>
          <w:tcPr>
            <w:tcW w:w="0" w:type="dxa"/>
            <w:vAlign w:val="bottom"/>
          </w:tcPr>
          <w:p>
            <w:pPr>
              <w:spacing w:after="0"/>
              <w:rPr>
                <w:sz w:val="1"/>
                <w:szCs w:val="1"/>
                <w:color w:val="auto"/>
              </w:rPr>
            </w:pPr>
          </w:p>
        </w:tc>
      </w:tr>
      <w:tr>
        <w:trPr>
          <w:trHeight w:val="223"/>
        </w:trPr>
        <w:tc>
          <w:tcPr>
            <w:tcW w:w="364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2,048,059</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19,489</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73,218</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2,140,766</w:t>
            </w:r>
          </w:p>
        </w:tc>
        <w:tc>
          <w:tcPr>
            <w:tcW w:w="0" w:type="dxa"/>
            <w:vAlign w:val="bottom"/>
          </w:tcPr>
          <w:p>
            <w:pPr>
              <w:spacing w:after="0"/>
              <w:rPr>
                <w:sz w:val="1"/>
                <w:szCs w:val="1"/>
                <w:color w:val="auto"/>
              </w:rPr>
            </w:pPr>
          </w:p>
        </w:tc>
      </w:tr>
      <w:tr>
        <w:trPr>
          <w:trHeight w:val="20"/>
        </w:trPr>
        <w:tc>
          <w:tcPr>
            <w:tcW w:w="36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64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i w:val="1"/>
                <w:iCs w:val="1"/>
                <w:color w:val="auto"/>
              </w:rPr>
              <w:t>September 30, 2025</w:t>
            </w:r>
          </w:p>
        </w:tc>
        <w:tc>
          <w:tcPr>
            <w:tcW w:w="3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West</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944,601</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3,483</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29,052</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977,136</w:t>
            </w:r>
          </w:p>
        </w:tc>
        <w:tc>
          <w:tcPr>
            <w:tcW w:w="0" w:type="dxa"/>
            <w:vAlign w:val="bottom"/>
          </w:tcPr>
          <w:p>
            <w:pPr>
              <w:spacing w:after="0"/>
              <w:rPr>
                <w:sz w:val="1"/>
                <w:szCs w:val="1"/>
                <w:color w:val="auto"/>
              </w:rPr>
            </w:pPr>
          </w:p>
        </w:tc>
      </w:tr>
      <w:tr>
        <w:trPr>
          <w:trHeight w:val="229"/>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East</w:t>
            </w:r>
          </w:p>
        </w:tc>
        <w:tc>
          <w:tcPr>
            <w:tcW w:w="3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387,954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10,888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16,086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414,928</w:t>
            </w:r>
          </w:p>
        </w:tc>
        <w:tc>
          <w:tcPr>
            <w:tcW w:w="0" w:type="dxa"/>
            <w:vAlign w:val="bottom"/>
          </w:tcPr>
          <w:p>
            <w:pPr>
              <w:spacing w:after="0"/>
              <w:rPr>
                <w:sz w:val="1"/>
                <w:szCs w:val="1"/>
                <w:color w:val="auto"/>
              </w:rPr>
            </w:pPr>
          </w:p>
        </w:tc>
      </w:tr>
      <w:tr>
        <w:trPr>
          <w:trHeight w:val="229"/>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Southeast</w:t>
            </w:r>
          </w:p>
        </w:tc>
        <w:tc>
          <w:tcPr>
            <w:tcW w:w="3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418,497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425,845</w:t>
            </w:r>
          </w:p>
        </w:tc>
        <w:tc>
          <w:tcPr>
            <w:tcW w:w="0" w:type="dxa"/>
            <w:vAlign w:val="bottom"/>
          </w:tcPr>
          <w:p>
            <w:pPr>
              <w:spacing w:after="0"/>
              <w:rPr>
                <w:sz w:val="1"/>
                <w:szCs w:val="1"/>
                <w:color w:val="auto"/>
              </w:rPr>
            </w:pPr>
          </w:p>
        </w:tc>
      </w:tr>
      <w:tr>
        <w:trPr>
          <w:trHeight w:val="230"/>
        </w:trPr>
        <w:tc>
          <w:tcPr>
            <w:tcW w:w="36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Corporate and unallocated</w:t>
            </w:r>
            <w:r>
              <w:rPr>
                <w:rFonts w:ascii="Times New Roman" w:cs="Times New Roman" w:eastAsia="Times New Roman" w:hAnsi="Times New Roman"/>
                <w:sz w:val="23"/>
                <w:szCs w:val="23"/>
                <w:color w:val="auto"/>
                <w:vertAlign w:val="superscript"/>
              </w:rPr>
              <w:t>(b)</w:t>
            </w:r>
          </w:p>
        </w:tc>
        <w:tc>
          <w:tcPr>
            <w:tcW w:w="3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211,524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211,524</w:t>
            </w:r>
          </w:p>
        </w:tc>
        <w:tc>
          <w:tcPr>
            <w:tcW w:w="0" w:type="dxa"/>
            <w:vAlign w:val="bottom"/>
          </w:tcPr>
          <w:p>
            <w:pPr>
              <w:spacing w:after="0"/>
              <w:rPr>
                <w:sz w:val="1"/>
                <w:szCs w:val="1"/>
                <w:color w:val="auto"/>
              </w:rPr>
            </w:pPr>
          </w:p>
        </w:tc>
      </w:tr>
      <w:tr>
        <w:trPr>
          <w:trHeight w:val="223"/>
        </w:trPr>
        <w:tc>
          <w:tcPr>
            <w:tcW w:w="3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1,962,576</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19,489</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47,368</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2,029,433</w:t>
            </w:r>
          </w:p>
        </w:tc>
        <w:tc>
          <w:tcPr>
            <w:tcW w:w="0" w:type="dxa"/>
            <w:vAlign w:val="bottom"/>
          </w:tcPr>
          <w:p>
            <w:pPr>
              <w:spacing w:after="0"/>
              <w:rPr>
                <w:sz w:val="1"/>
                <w:szCs w:val="1"/>
                <w:color w:val="auto"/>
              </w:rPr>
            </w:pPr>
          </w:p>
        </w:tc>
      </w:tr>
      <w:tr>
        <w:trPr>
          <w:trHeight w:val="21"/>
        </w:trPr>
        <w:tc>
          <w:tcPr>
            <w:tcW w:w="36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ind w:left="180" w:right="380" w:hanging="172"/>
        <w:spacing w:after="0" w:line="242" w:lineRule="auto"/>
        <w:tabs>
          <w:tab w:leader="none" w:pos="177" w:val="left"/>
        </w:tabs>
        <w:numPr>
          <w:ilvl w:val="0"/>
          <w:numId w:val="4"/>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Projects in progress include homes under construction, land under development, capitalized interest, model homes, and land not owned under option agreements categories from the preceding table.</w:t>
      </w:r>
    </w:p>
    <w:p>
      <w:pPr>
        <w:spacing w:after="0" w:line="69" w:lineRule="exact"/>
        <w:rPr>
          <w:rFonts w:ascii="Times New Roman" w:cs="Times New Roman" w:eastAsia="Times New Roman" w:hAnsi="Times New Roman"/>
          <w:sz w:val="22"/>
          <w:szCs w:val="22"/>
          <w:color w:val="auto"/>
          <w:vertAlign w:val="superscript"/>
        </w:rPr>
      </w:pPr>
    </w:p>
    <w:p>
      <w:pPr>
        <w:ind w:left="180" w:hanging="172"/>
        <w:spacing w:after="0"/>
        <w:tabs>
          <w:tab w:leader="none" w:pos="180" w:val="left"/>
        </w:tabs>
        <w:numPr>
          <w:ilvl w:val="0"/>
          <w:numId w:val="4"/>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Projects in progress amount include capitalized interest and indirect costs that are maintained within Corporate and unallocated.</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Inventory Impairments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Inventory assets are assessed for recoverability periodically in accordance with the policies described in Notes 2 and 4 to the consolidated financial statements within our 2025 Annual Report.</w:t>
      </w:r>
    </w:p>
    <w:p>
      <w:pPr>
        <w:spacing w:after="0" w:line="108"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8"/>
          <w:szCs w:val="18"/>
          <w:color w:val="auto"/>
        </w:rPr>
        <w:t>The following table presents, by reportable segment and Corporate and unallocated, our total impairment and abandonment charges for the periods presented:</w:t>
      </w:r>
    </w:p>
    <w:tbl>
      <w:tblPr>
        <w:tblLayout w:type="fixed"/>
        <w:tblInd w:w="0" w:type="dxa"/>
        <w:tblCellMar>
          <w:top w:w="0" w:type="dxa"/>
          <w:left w:w="0" w:type="dxa"/>
          <w:bottom w:w="0" w:type="dxa"/>
          <w:right w:w="0" w:type="dxa"/>
        </w:tblCellMar>
      </w:tblPr>
      <w:tr>
        <w:trPr>
          <w:trHeight w:val="190"/>
        </w:trPr>
        <w:tc>
          <w:tcPr>
            <w:tcW w:w="79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940" w:type="dxa"/>
            <w:vAlign w:val="bottom"/>
            <w:gridSpan w:val="4"/>
          </w:tcPr>
          <w:p>
            <w:pPr>
              <w:ind w:left="220"/>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0" w:type="dxa"/>
            <w:vAlign w:val="bottom"/>
          </w:tcPr>
          <w:p>
            <w:pPr>
              <w:spacing w:after="0"/>
              <w:rPr>
                <w:sz w:val="1"/>
                <w:szCs w:val="1"/>
                <w:color w:val="auto"/>
              </w:rPr>
            </w:pPr>
          </w:p>
        </w:tc>
      </w:tr>
      <w:tr>
        <w:trPr>
          <w:trHeight w:val="23"/>
        </w:trPr>
        <w:tc>
          <w:tcPr>
            <w:tcW w:w="794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940" w:type="dxa"/>
            <w:vAlign w:val="bottom"/>
            <w:tcBorders>
              <w:bottom w:val="single" w:sz="8" w:color="CCEEFF"/>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4"/>
                <w:szCs w:val="14"/>
                <w:color w:val="auto"/>
              </w:rPr>
              <w:t>2024</w:t>
            </w:r>
          </w:p>
        </w:tc>
        <w:tc>
          <w:tcPr>
            <w:tcW w:w="0" w:type="dxa"/>
            <w:vAlign w:val="bottom"/>
          </w:tcPr>
          <w:p>
            <w:pPr>
              <w:spacing w:after="0"/>
              <w:rPr>
                <w:sz w:val="1"/>
                <w:szCs w:val="1"/>
                <w:color w:val="auto"/>
              </w:rPr>
            </w:pPr>
          </w:p>
        </w:tc>
      </w:tr>
      <w:tr>
        <w:trPr>
          <w:trHeight w:val="216"/>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Land Held for Sale:</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West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45</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East</w:t>
            </w: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878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940" w:type="dxa"/>
            <w:vAlign w:val="bottom"/>
            <w:tcBorders>
              <w:bottom w:val="single" w:sz="8" w:color="CCEEFF"/>
            </w:tcBorders>
          </w:tcPr>
          <w:p>
            <w:pPr>
              <w:ind w:left="360"/>
              <w:spacing w:after="0" w:line="230" w:lineRule="exact"/>
              <w:rPr>
                <w:sz w:val="20"/>
                <w:szCs w:val="20"/>
                <w:color w:val="auto"/>
              </w:rPr>
            </w:pPr>
            <w:r>
              <w:rPr>
                <w:rFonts w:ascii="Times New Roman" w:cs="Times New Roman" w:eastAsia="Times New Roman" w:hAnsi="Times New Roman"/>
                <w:sz w:val="18"/>
                <w:szCs w:val="18"/>
                <w:color w:val="auto"/>
              </w:rPr>
              <w:t>Corporate and unallocated</w:t>
            </w:r>
            <w:r>
              <w:rPr>
                <w:rFonts w:ascii="Times New Roman" w:cs="Times New Roman" w:eastAsia="Times New Roman" w:hAnsi="Times New Roman"/>
                <w:sz w:val="23"/>
                <w:szCs w:val="23"/>
                <w:color w:val="auto"/>
                <w:vertAlign w:val="superscript"/>
              </w:rPr>
              <w:t>(a)</w:t>
            </w: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122</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79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impairment charges on land held for sale</w:t>
            </w:r>
          </w:p>
        </w:tc>
        <w:tc>
          <w:tcPr>
            <w:tcW w:w="3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1,045</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Abandonments:</w:t>
            </w: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West</w:t>
            </w: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1,304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9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East</w:t>
            </w: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79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abandonments charges</w:t>
            </w:r>
          </w:p>
        </w:tc>
        <w:tc>
          <w:tcPr>
            <w:tcW w:w="3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1,325</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79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impairment and abandonment charges</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2,370</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79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4" w:lineRule="exact"/>
        <w:rPr>
          <w:sz w:val="20"/>
          <w:szCs w:val="20"/>
          <w:color w:val="auto"/>
        </w:rPr>
      </w:pPr>
    </w:p>
    <w:p>
      <w:pPr>
        <w:ind w:left="180" w:hanging="172"/>
        <w:spacing w:after="0" w:line="229" w:lineRule="auto"/>
        <w:tabs>
          <w:tab w:leader="none" w:pos="190" w:val="left"/>
        </w:tabs>
        <w:numPr>
          <w:ilvl w:val="0"/>
          <w:numId w:val="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Amount represents capitalized interest and indirects balance that was impaired. Capitalized interest and indirects are maintained within Corporate and unallocated.</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Projects in Progress Impairments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Projects in progress inventory include homes under construction and land under development grouped together as communities. Projects in progress are stated at cost unless facts and circumstances indicate that the carrying value of the assets may not be recoverable.</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assess our projects in progress inventory for indicators of impairment at the community level on a quarterly basis. If indicators of impairment are present for a community with more than ten homes remaining to close, we perform a recoverability test by comparing the expected undiscounted cash flows for the community to its carrying value. If the aggregate undiscounted cash flows are in excess of the carrying value, the asset is considered to be recoverable and is not impaired. If the carrying value exceeds the aggregate undiscounted cash flows, we perform a discounted cash flow analysis to determine the fair value of the community, and impairment charges are recorded if the fair value of the community's inventory is less than its carrying value.</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projects in progress impairments were recognized during the three months ended December 31, 2025 and 2024.</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Land Held for Sale Impairments</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evaluate the fair value less cost to sell of a land held for sale asset when indicators of impairment are present. Impairments on land held for sale generally represent write downs of these properties from their carrying values to estimated fair value less cost to sell based on executed sales contracts, current sales prices for comparable assets in the area, recent market analysis studies, appraisals, recent legitimate offers and listing prices of similar properties, as applicable. Absent an executed sales contract, our assumptions related to land sales prices are based on factors known to us at the time such estimates are made and require significant judgment because the real estate market is highly sensitive to changes in economic conditions, and our estimates of sale prices could differ significantly from actual results.</w:t>
      </w:r>
    </w:p>
    <w:p>
      <w:pPr>
        <w:spacing w:after="0" w:line="13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three months ended December 31, 2025, we recognized $1.0 million land held for sale impairment charges related to two communities in our West and East segments. Estimated fair value less cost to sell of the land held for sale assets at the time of impairment was $14.0 million. The fair values of land held for sale assets are determined using Level 3 unobservable inputs. No land held for sale impairments were recognized during the three months ended December 31, 2024.</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Abandonments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From time to time, we may determine to abandon lots or not exercise certain option agreements that are not projected to produce adequate results or no longer fit with our long-term strategic plan. Additionally, in certain limited instances, we are forced to abandon lots due to seller non-performance, permitting or other regulatory issues that do not allow us to build on those lots. If we intend to no longer pursue the purchase of property, we record an abandonment charge to earnings for the non-refundable deposit amount and any related capitalized costs in the period such decision is made.</w:t>
      </w:r>
    </w:p>
    <w:p>
      <w:pPr>
        <w:spacing w:after="0" w:line="12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three months ended December 31, 2025, we recognized $1.3 million of abandonment charges. No abandonment charges were recognized during the three months ended December 31, 2024. As we grow our business in the years ahead, the dollar value of abandonment charges may also grow.</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Lot Option Agreements</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to purchasing land directly, we utilize lot option agreements that enable us to defer acquiring portions of properties owned by third parties and unconsolidated entities until we have determined whether to exercise our lot option. The majority of our lot option agreements require a non-refundable cash deposit or issuance of an irrevocable letter of credit or surety bond based on a percentage of the purchase price of the land for the right to acquire lots during a specified period at a specified price. Purchase of the properties under these agreements is contingent upon satisfaction of certain requirements by us and the sellers. Under lot option agreements, our liability is generally limited to forfeiture of the non-refundable deposits, letters of credit or surety bonds, and other non-refundable amounts incurred. If the Company cancels a lot option agreement, the cancellation would result in a write-off of the related deposits and pre-acquisition costs but would not expose the Company to the overall risks or losses of the applicable entity we are purchasing from. We expect to exercise, subject to market conditions and seller satisfaction of contract terms, most of our remaining option agreements. Various factors, some of which are beyond our control, such as market conditions, weather conditions, and the timing of the completion of development activities, will have a significant impact on the timing of option exercises or whether lot options will be exercised at all.</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 summary of our interests in lot option agreements as of December 31, 2025 and September 30, 2025:</w:t>
      </w:r>
    </w:p>
    <w:p>
      <w:pPr>
        <w:spacing w:after="0" w:line="43"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7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9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As of December 31, 2025</w:t>
            </w:r>
          </w:p>
        </w:tc>
        <w:tc>
          <w:tcPr>
            <w:tcW w:w="200" w:type="dxa"/>
            <w:vAlign w:val="bottom"/>
          </w:tcPr>
          <w:p>
            <w:pPr>
              <w:spacing w:after="0"/>
              <w:rPr>
                <w:sz w:val="16"/>
                <w:szCs w:val="16"/>
                <w:color w:val="auto"/>
              </w:rPr>
            </w:pPr>
          </w:p>
        </w:tc>
        <w:tc>
          <w:tcPr>
            <w:tcW w:w="1840" w:type="dxa"/>
            <w:vAlign w:val="bottom"/>
          </w:tcPr>
          <w:p>
            <w:pPr>
              <w:jc w:val="right"/>
              <w:ind w:right="176"/>
              <w:spacing w:after="0"/>
              <w:rPr>
                <w:sz w:val="20"/>
                <w:szCs w:val="20"/>
                <w:color w:val="auto"/>
              </w:rPr>
            </w:pPr>
            <w:r>
              <w:rPr>
                <w:rFonts w:ascii="Times New Roman" w:cs="Times New Roman" w:eastAsia="Times New Roman" w:hAnsi="Times New Roman"/>
                <w:sz w:val="14"/>
                <w:szCs w:val="14"/>
                <w:color w:val="auto"/>
              </w:rPr>
              <w:t>As of September 30, 2025</w:t>
            </w:r>
          </w:p>
        </w:tc>
        <w:tc>
          <w:tcPr>
            <w:tcW w:w="0" w:type="dxa"/>
            <w:vAlign w:val="bottom"/>
          </w:tcPr>
          <w:p>
            <w:pPr>
              <w:spacing w:after="0"/>
              <w:rPr>
                <w:sz w:val="1"/>
                <w:szCs w:val="1"/>
                <w:color w:val="auto"/>
              </w:rPr>
            </w:pPr>
          </w:p>
        </w:tc>
      </w:tr>
      <w:tr>
        <w:trPr>
          <w:trHeight w:val="23"/>
        </w:trPr>
        <w:tc>
          <w:tcPr>
            <w:tcW w:w="702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8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9"/>
        </w:trPr>
        <w:tc>
          <w:tcPr>
            <w:tcW w:w="702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
        </w:trPr>
        <w:tc>
          <w:tcPr>
            <w:tcW w:w="7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70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Deposits and non-refundable pre-acquisition costs incurred</w:t>
            </w:r>
            <w:r>
              <w:rPr>
                <w:rFonts w:ascii="Times New Roman" w:cs="Times New Roman" w:eastAsia="Times New Roman" w:hAnsi="Times New Roman"/>
                <w:sz w:val="23"/>
                <w:szCs w:val="23"/>
                <w:color w:val="auto"/>
                <w:vertAlign w:val="superscript"/>
              </w:rPr>
              <w:t>(a)</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353,903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333,435</w:t>
            </w:r>
          </w:p>
        </w:tc>
        <w:tc>
          <w:tcPr>
            <w:tcW w:w="0" w:type="dxa"/>
            <w:vAlign w:val="bottom"/>
          </w:tcPr>
          <w:p>
            <w:pPr>
              <w:spacing w:after="0"/>
              <w:rPr>
                <w:sz w:val="1"/>
                <w:szCs w:val="1"/>
                <w:color w:val="auto"/>
              </w:rPr>
            </w:pPr>
          </w:p>
        </w:tc>
      </w:tr>
      <w:tr>
        <w:trPr>
          <w:trHeight w:val="238"/>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Remaining purchase price if lot option agreements are exercised</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1,601,201</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1,610,171</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180" w:right="440" w:hanging="172"/>
        <w:spacing w:after="0" w:line="242" w:lineRule="auto"/>
        <w:tabs>
          <w:tab w:leader="none" w:pos="177" w:val="left"/>
        </w:tabs>
        <w:numPr>
          <w:ilvl w:val="0"/>
          <w:numId w:val="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Amount is included as a component of land under development and land not owned under option agreements within our inventory in the condensed consolidated balance sheets.</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Interest</w:t>
      </w:r>
    </w:p>
    <w:p>
      <w:pPr>
        <w:spacing w:after="0" w:line="175"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8"/>
          <w:szCs w:val="18"/>
          <w:color w:val="auto"/>
        </w:rPr>
        <w:t>Interest capitalized during the three months ended December 31, 2025 and 2024 was based upon the balance of inventory eligible for capitalization. The following table presents certain information regarding interest for the periods presented:</w:t>
      </w:r>
    </w:p>
    <w:tbl>
      <w:tblPr>
        <w:tblLayout w:type="fixed"/>
        <w:tblInd w:w="0" w:type="dxa"/>
        <w:tblCellMar>
          <w:top w:w="0" w:type="dxa"/>
          <w:left w:w="0" w:type="dxa"/>
          <w:bottom w:w="0" w:type="dxa"/>
          <w:right w:w="0" w:type="dxa"/>
        </w:tblCellMar>
      </w:tblPr>
      <w:tr>
        <w:trPr>
          <w:trHeight w:val="190"/>
        </w:trPr>
        <w:tc>
          <w:tcPr>
            <w:tcW w:w="79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940" w:type="dxa"/>
            <w:vAlign w:val="bottom"/>
            <w:gridSpan w:val="4"/>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0" w:type="dxa"/>
            <w:vAlign w:val="bottom"/>
          </w:tcPr>
          <w:p>
            <w:pPr>
              <w:spacing w:after="0"/>
              <w:rPr>
                <w:sz w:val="1"/>
                <w:szCs w:val="1"/>
                <w:color w:val="auto"/>
              </w:rPr>
            </w:pPr>
          </w:p>
        </w:tc>
      </w:tr>
      <w:tr>
        <w:trPr>
          <w:trHeight w:val="23"/>
        </w:trPr>
        <w:tc>
          <w:tcPr>
            <w:tcW w:w="794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940" w:type="dxa"/>
            <w:vAlign w:val="bottom"/>
            <w:tcBorders>
              <w:bottom w:val="single" w:sz="8" w:color="CCEEFF"/>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color w:val="auto"/>
              </w:rPr>
              <w:t>2024</w:t>
            </w:r>
          </w:p>
        </w:tc>
        <w:tc>
          <w:tcPr>
            <w:tcW w:w="0" w:type="dxa"/>
            <w:vAlign w:val="bottom"/>
          </w:tcPr>
          <w:p>
            <w:pPr>
              <w:spacing w:after="0"/>
              <w:rPr>
                <w:sz w:val="1"/>
                <w:szCs w:val="1"/>
                <w:color w:val="auto"/>
              </w:rPr>
            </w:pPr>
          </w:p>
        </w:tc>
      </w:tr>
      <w:tr>
        <w:trPr>
          <w:trHeight w:val="229"/>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Capitalized interest in inventory, beginning of period</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131,845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124,182</w:t>
            </w:r>
          </w:p>
        </w:tc>
        <w:tc>
          <w:tcPr>
            <w:tcW w:w="0" w:type="dxa"/>
            <w:vAlign w:val="bottom"/>
          </w:tcPr>
          <w:p>
            <w:pPr>
              <w:spacing w:after="0"/>
              <w:rPr>
                <w:sz w:val="1"/>
                <w:szCs w:val="1"/>
                <w:color w:val="auto"/>
              </w:rPr>
            </w:pPr>
          </w:p>
        </w:tc>
      </w:tr>
      <w:tr>
        <w:trPr>
          <w:trHeight w:val="229"/>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incurred</w:t>
            </w: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19,756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20,161</w:t>
            </w:r>
          </w:p>
        </w:tc>
        <w:tc>
          <w:tcPr>
            <w:tcW w:w="0" w:type="dxa"/>
            <w:vAlign w:val="bottom"/>
          </w:tcPr>
          <w:p>
            <w:pPr>
              <w:spacing w:after="0"/>
              <w:rPr>
                <w:sz w:val="1"/>
                <w:szCs w:val="1"/>
                <w:color w:val="auto"/>
              </w:rPr>
            </w:pPr>
          </w:p>
        </w:tc>
      </w:tr>
      <w:tr>
        <w:trPr>
          <w:trHeight w:val="230"/>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Capitalized interest impaired</w:t>
            </w: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794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Capitalized interest amortized to home construction and land sales expenses</w:t>
            </w:r>
            <w:r>
              <w:rPr>
                <w:rFonts w:ascii="Times New Roman" w:cs="Times New Roman" w:eastAsia="Times New Roman" w:hAnsi="Times New Roman"/>
                <w:sz w:val="23"/>
                <w:szCs w:val="23"/>
                <w:color w:val="auto"/>
                <w:vertAlign w:val="superscript"/>
              </w:rPr>
              <w:t>(a)</w:t>
            </w: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(11,857)</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(13,910)</w:t>
            </w:r>
          </w:p>
        </w:tc>
        <w:tc>
          <w:tcPr>
            <w:tcW w:w="0" w:type="dxa"/>
            <w:vAlign w:val="bottom"/>
          </w:tcPr>
          <w:p>
            <w:pPr>
              <w:spacing w:after="0"/>
              <w:rPr>
                <w:sz w:val="1"/>
                <w:szCs w:val="1"/>
                <w:color w:val="auto"/>
              </w:rPr>
            </w:pPr>
          </w:p>
        </w:tc>
      </w:tr>
      <w:tr>
        <w:trPr>
          <w:trHeight w:val="248"/>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Capitalized interest in inventory, end of period</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139,678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130,433</w:t>
            </w:r>
          </w:p>
        </w:tc>
        <w:tc>
          <w:tcPr>
            <w:tcW w:w="0" w:type="dxa"/>
            <w:vAlign w:val="bottom"/>
          </w:tcPr>
          <w:p>
            <w:pPr>
              <w:spacing w:after="0"/>
              <w:rPr>
                <w:sz w:val="1"/>
                <w:szCs w:val="1"/>
                <w:color w:val="auto"/>
              </w:rPr>
            </w:pP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left="180" w:right="420" w:hanging="172"/>
        <w:spacing w:after="0" w:line="229" w:lineRule="auto"/>
        <w:tabs>
          <w:tab w:leader="none" w:pos="192" w:val="left"/>
        </w:tabs>
        <w:numPr>
          <w:ilvl w:val="0"/>
          <w:numId w:val="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Capitalized interest amortized to home construction and land sales expenses varies based on the number of homes closed during the period and land sales, if any, as well as other factors.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Borrowings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debt, net of unamortized debt issuance costs consisted of the following as of December 31, 2025 and September 30, 2025:</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0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Maturity Date</w:t>
            </w:r>
          </w:p>
        </w:tc>
        <w:tc>
          <w:tcPr>
            <w:tcW w:w="260" w:type="dxa"/>
            <w:vAlign w:val="bottom"/>
          </w:tcPr>
          <w:p>
            <w:pPr>
              <w:spacing w:after="0"/>
              <w:rPr>
                <w:sz w:val="16"/>
                <w:szCs w:val="16"/>
                <w:color w:val="auto"/>
              </w:rPr>
            </w:pPr>
          </w:p>
        </w:tc>
        <w:tc>
          <w:tcPr>
            <w:tcW w:w="18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260" w:type="dxa"/>
            <w:vAlign w:val="bottom"/>
          </w:tcPr>
          <w:p>
            <w:pPr>
              <w:spacing w:after="0"/>
              <w:rPr>
                <w:sz w:val="16"/>
                <w:szCs w:val="16"/>
                <w:color w:val="auto"/>
              </w:rPr>
            </w:pPr>
          </w:p>
        </w:tc>
        <w:tc>
          <w:tcPr>
            <w:tcW w:w="1720" w:type="dxa"/>
            <w:vAlign w:val="bottom"/>
          </w:tcPr>
          <w:p>
            <w:pPr>
              <w:jc w:val="right"/>
              <w:ind w:right="312"/>
              <w:spacing w:after="0"/>
              <w:rPr>
                <w:sz w:val="20"/>
                <w:szCs w:val="20"/>
                <w:color w:val="auto"/>
              </w:rPr>
            </w:pPr>
            <w:r>
              <w:rPr>
                <w:rFonts w:ascii="Times New Roman" w:cs="Times New Roman" w:eastAsia="Times New Roman" w:hAnsi="Times New Roman"/>
                <w:sz w:val="14"/>
                <w:szCs w:val="14"/>
                <w:color w:val="auto"/>
              </w:rPr>
              <w:t>September 30, 2025</w:t>
            </w:r>
          </w:p>
        </w:tc>
        <w:tc>
          <w:tcPr>
            <w:tcW w:w="0" w:type="dxa"/>
            <w:vAlign w:val="bottom"/>
          </w:tcPr>
          <w:p>
            <w:pPr>
              <w:spacing w:after="0"/>
              <w:rPr>
                <w:sz w:val="1"/>
                <w:szCs w:val="1"/>
                <w:color w:val="auto"/>
              </w:rPr>
            </w:pPr>
          </w:p>
        </w:tc>
      </w:tr>
      <w:tr>
        <w:trPr>
          <w:trHeight w:val="23"/>
        </w:trPr>
        <w:tc>
          <w:tcPr>
            <w:tcW w:w="5120" w:type="dxa"/>
            <w:vAlign w:val="bottom"/>
            <w:tcBorders>
              <w:bottom w:val="single" w:sz="8" w:color="CCEEFF"/>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5.875% Senior Notes (2027 Notes)</w:t>
            </w:r>
          </w:p>
        </w:tc>
        <w:tc>
          <w:tcPr>
            <w:tcW w:w="1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October 2027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357,255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357,255</w:t>
            </w:r>
          </w:p>
        </w:tc>
        <w:tc>
          <w:tcPr>
            <w:tcW w:w="0" w:type="dxa"/>
            <w:vAlign w:val="bottom"/>
          </w:tcPr>
          <w:p>
            <w:pPr>
              <w:spacing w:after="0"/>
              <w:rPr>
                <w:sz w:val="1"/>
                <w:szCs w:val="1"/>
                <w:color w:val="auto"/>
              </w:rPr>
            </w:pPr>
          </w:p>
        </w:tc>
      </w:tr>
      <w:tr>
        <w:trPr>
          <w:trHeight w:val="229"/>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7.250% Senior Notes (2029 Notes)</w:t>
            </w:r>
          </w:p>
        </w:tc>
        <w:tc>
          <w:tcPr>
            <w:tcW w:w="20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October 2029</w:t>
            </w:r>
          </w:p>
        </w:tc>
        <w:tc>
          <w:tcPr>
            <w:tcW w:w="2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350,000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350,000</w:t>
            </w:r>
          </w:p>
        </w:tc>
        <w:tc>
          <w:tcPr>
            <w:tcW w:w="0" w:type="dxa"/>
            <w:vAlign w:val="bottom"/>
          </w:tcPr>
          <w:p>
            <w:pPr>
              <w:spacing w:after="0"/>
              <w:rPr>
                <w:sz w:val="1"/>
                <w:szCs w:val="1"/>
                <w:color w:val="auto"/>
              </w:rPr>
            </w:pPr>
          </w:p>
        </w:tc>
      </w:tr>
      <w:tr>
        <w:trPr>
          <w:trHeight w:val="229"/>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7.500% Senior Notes (2031 Notes)</w:t>
            </w:r>
          </w:p>
        </w:tc>
        <w:tc>
          <w:tcPr>
            <w:tcW w:w="20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March 2031</w:t>
            </w:r>
          </w:p>
        </w:tc>
        <w:tc>
          <w:tcPr>
            <w:tcW w:w="2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250,000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0" w:type="dxa"/>
            <w:vAlign w:val="bottom"/>
          </w:tcPr>
          <w:p>
            <w:pPr>
              <w:spacing w:after="0"/>
              <w:rPr>
                <w:sz w:val="1"/>
                <w:szCs w:val="1"/>
                <w:color w:val="auto"/>
              </w:rPr>
            </w:pPr>
          </w:p>
        </w:tc>
      </w:tr>
      <w:tr>
        <w:trPr>
          <w:trHeight w:val="230"/>
        </w:trPr>
        <w:tc>
          <w:tcPr>
            <w:tcW w:w="5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Unamortized debt issuance costs</w:t>
            </w:r>
          </w:p>
        </w:tc>
        <w:tc>
          <w:tcPr>
            <w:tcW w:w="19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(6,187)</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(6,611)</w:t>
            </w:r>
          </w:p>
        </w:tc>
        <w:tc>
          <w:tcPr>
            <w:tcW w:w="0" w:type="dxa"/>
            <w:vAlign w:val="bottom"/>
          </w:tcPr>
          <w:p>
            <w:pPr>
              <w:spacing w:after="0"/>
              <w:rPr>
                <w:sz w:val="1"/>
                <w:szCs w:val="1"/>
                <w:color w:val="auto"/>
              </w:rPr>
            </w:pPr>
          </w:p>
        </w:tc>
      </w:tr>
      <w:tr>
        <w:trPr>
          <w:trHeight w:val="223"/>
        </w:trPr>
        <w:tc>
          <w:tcPr>
            <w:tcW w:w="51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Senior Notes, net</w:t>
            </w:r>
          </w:p>
        </w:tc>
        <w:tc>
          <w:tcPr>
            <w:tcW w:w="1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951,068</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950,644</w:t>
            </w:r>
          </w:p>
        </w:tc>
        <w:tc>
          <w:tcPr>
            <w:tcW w:w="0" w:type="dxa"/>
            <w:vAlign w:val="bottom"/>
          </w:tcPr>
          <w:p>
            <w:pPr>
              <w:spacing w:after="0"/>
              <w:rPr>
                <w:sz w:val="1"/>
                <w:szCs w:val="1"/>
                <w:color w:val="auto"/>
              </w:rPr>
            </w:pPr>
          </w:p>
        </w:tc>
      </w:tr>
      <w:tr>
        <w:trPr>
          <w:trHeight w:val="156"/>
        </w:trPr>
        <w:tc>
          <w:tcPr>
            <w:tcW w:w="512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color w:val="auto"/>
              </w:rPr>
              <w:t>Junior Subordinated Notes (net of unamortized accretion of $21,786</w:t>
            </w:r>
          </w:p>
        </w:tc>
        <w:tc>
          <w:tcPr>
            <w:tcW w:w="1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7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78,987</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and $22,303, respectively)</w:t>
            </w:r>
          </w:p>
        </w:tc>
        <w:tc>
          <w:tcPr>
            <w:tcW w:w="20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July 2036</w:t>
            </w:r>
          </w:p>
        </w:tc>
        <w:tc>
          <w:tcPr>
            <w:tcW w:w="260" w:type="dxa"/>
            <w:vAlign w:val="bottom"/>
          </w:tcPr>
          <w:p>
            <w:pPr>
              <w:spacing w:after="0"/>
              <w:rPr>
                <w:sz w:val="21"/>
                <w:szCs w:val="21"/>
                <w:color w:val="auto"/>
              </w:rPr>
            </w:pPr>
          </w:p>
        </w:tc>
        <w:tc>
          <w:tcPr>
            <w:tcW w:w="172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78,470</w:t>
            </w:r>
          </w:p>
        </w:tc>
        <w:tc>
          <w:tcPr>
            <w:tcW w:w="0" w:type="dxa"/>
            <w:vAlign w:val="bottom"/>
          </w:tcPr>
          <w:p>
            <w:pPr>
              <w:spacing w:after="0"/>
              <w:rPr>
                <w:sz w:val="1"/>
                <w:szCs w:val="1"/>
                <w:color w:val="auto"/>
              </w:rPr>
            </w:pPr>
          </w:p>
        </w:tc>
      </w:tr>
      <w:tr>
        <w:trPr>
          <w:trHeight w:val="230"/>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Unsecured Revolving Credit Facility</w:t>
            </w:r>
          </w:p>
        </w:tc>
        <w:tc>
          <w:tcPr>
            <w:tcW w:w="20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March 2028</w:t>
            </w:r>
          </w:p>
        </w:tc>
        <w:tc>
          <w:tcPr>
            <w:tcW w:w="26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95,000</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23"/>
        </w:trPr>
        <w:tc>
          <w:tcPr>
            <w:tcW w:w="51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debt, net</w:t>
            </w:r>
          </w:p>
        </w:tc>
        <w:tc>
          <w:tcPr>
            <w:tcW w:w="1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1,125,055</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1,029,114</w:t>
            </w: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Senior Unsecured Revolving Credit Facility</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Senior Unsecured Revolving Credit Facility (Unsecured Facility) with J.P. Morgan Chase Bank, N.A., as administrative agent, and the participating lenders, was most recently amended on January 13, 2026. The Unsecured Facility provides working capital and letter of credit capacity. The $365.0 million borrowing capacity includes a letter of credit facility of up to $100.0 million. The Company also will have the right from time to time to request to increase the size of the commitments under the Unsecured Facility by up to $35.0 million for a maximum of $400.0 million. The Unsecured Facility terminates on March 15, 2028 (Termination Date), and the Company may borrow, repay, and reborrow amounts under the Unsecured Facility until the Termination Date.</w:t>
      </w:r>
    </w:p>
    <w:p>
      <w:pPr>
        <w:spacing w:after="0" w:line="1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Borrowings under the Unsecured Facility bear interest, at our option, at either (i) a secured overnight financing rate (SOFR) plus an applicable margin ranging from 2.35% to 3.10% per annum or (ii) an alternate base rate (ABR) plus an applicable margin ranging from 1.35% to 2.10% per annum. Commitment fees on the unused portion of the facility range from 0.25% to 0.40% per annum. The applicable margin and the commitment fees vary based on the Company's leverage ratio, as defined under the Unsecured Facility.</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Substantially all of the Company's significant subsidiaries are full and unconditional guarantors of the Unsecured Facility and are jointly and severally liable for obligations under the Unsecured Facility. For additional discussion of the Unsecured Facility, refer to Note 7 to the consolidated financial statements within our 2025 Annual Report.</w:t>
      </w:r>
    </w:p>
    <w:p>
      <w:pPr>
        <w:spacing w:after="0" w:line="1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December 31, 2025, we had $95.0 million in borrowings and $48.1 million in letters of credit outstanding under the Unsecured Facility, resulting in a remaining capacity of $221.9 million. The weighted-average interest rate on outstanding borrowings as of December 31, 2025 was 8.70%. The Unsecured Facility requires compliance with certain covenants, including affirmative covenants, negative covenants and financial covenants. As of December 31, 2025, the Company believes it was in compliance with all such covenants.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Senior Notes</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senior notes (Senior Notes) are unsecured obligations that rank equally in right of payment with all existing and future senior unsecured obligations, senior to all of the Company's existing and future subordinated indebtedness, and effectively subordinated to the Company's future secured indebtedness, to the extent of the value of the assets securing such indebtedness. Substantially all of the Company's significant subsidiaries are full and unconditional guarantors of the Senior Notes and are jointly and severally liable for obligations under the Senior Notes. Each guarantor subsidiary is a wholly owned subsidiary of Beazer Homes. The Senior Notes and related guarantees are structurally subordinated to all indebtedness and other liabilities of all of the Company's subsidiaries that do not guarantee these notes.</w:t>
      </w:r>
    </w:p>
    <w:p>
      <w:pPr>
        <w:spacing w:after="0" w:line="13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Senior Notes are issued under indentures that contain certain restrictive covenants which, among other things, restrict our ability to pay dividends, repurchase our common stock, incur certain types of additional indebtedness, and make certain investments. Compliance with the Senior Note covenants does not significantly impact the Company's operations. The Company believes it was in compliance with the covenants contained in the indentures of all of its Senior Notes as of December 31, 2025.</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debt repurchases were made during the three months ended December 31, 2025 and 2024.</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additional redemption features, refer to the table below that summarizes the redemption terms of our Senior Notes: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16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Senior Note Description</w:t>
            </w:r>
          </w:p>
        </w:tc>
        <w:tc>
          <w:tcPr>
            <w:tcW w:w="1660" w:type="dxa"/>
            <w:vAlign w:val="bottom"/>
            <w:gridSpan w:val="2"/>
          </w:tcPr>
          <w:p>
            <w:pPr>
              <w:ind w:left="360"/>
              <w:spacing w:after="0"/>
              <w:rPr>
                <w:sz w:val="20"/>
                <w:szCs w:val="20"/>
                <w:color w:val="auto"/>
              </w:rPr>
            </w:pPr>
            <w:r>
              <w:rPr>
                <w:rFonts w:ascii="Times New Roman" w:cs="Times New Roman" w:eastAsia="Times New Roman" w:hAnsi="Times New Roman"/>
                <w:sz w:val="14"/>
                <w:szCs w:val="14"/>
                <w:b w:val="1"/>
                <w:bCs w:val="1"/>
                <w:color w:val="auto"/>
              </w:rPr>
              <w:t>Issuance Date</w:t>
            </w:r>
          </w:p>
        </w:tc>
        <w:tc>
          <w:tcPr>
            <w:tcW w:w="136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Maturity Date</w:t>
            </w:r>
          </w:p>
        </w:tc>
        <w:tc>
          <w:tcPr>
            <w:tcW w:w="100" w:type="dxa"/>
            <w:vAlign w:val="bottom"/>
          </w:tcPr>
          <w:p>
            <w:pPr>
              <w:spacing w:after="0"/>
              <w:rPr>
                <w:sz w:val="16"/>
                <w:szCs w:val="16"/>
                <w:color w:val="auto"/>
              </w:rPr>
            </w:pPr>
          </w:p>
        </w:tc>
        <w:tc>
          <w:tcPr>
            <w:tcW w:w="5920" w:type="dxa"/>
            <w:vAlign w:val="bottom"/>
          </w:tcPr>
          <w:p>
            <w:pPr>
              <w:ind w:left="2380"/>
              <w:spacing w:after="0"/>
              <w:rPr>
                <w:sz w:val="20"/>
                <w:szCs w:val="20"/>
                <w:color w:val="auto"/>
              </w:rPr>
            </w:pPr>
            <w:r>
              <w:rPr>
                <w:rFonts w:ascii="Times New Roman" w:cs="Times New Roman" w:eastAsia="Times New Roman" w:hAnsi="Times New Roman"/>
                <w:sz w:val="14"/>
                <w:szCs w:val="14"/>
                <w:b w:val="1"/>
                <w:bCs w:val="1"/>
                <w:color w:val="auto"/>
              </w:rPr>
              <w:t>Redemption Terms</w:t>
            </w:r>
          </w:p>
        </w:tc>
      </w:tr>
      <w:tr>
        <w:trPr>
          <w:trHeight w:val="23"/>
        </w:trPr>
        <w:tc>
          <w:tcPr>
            <w:tcW w:w="2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920" w:type="dxa"/>
            <w:vAlign w:val="bottom"/>
            <w:tcBorders>
              <w:bottom w:val="single" w:sz="8" w:color="auto"/>
            </w:tcBorders>
          </w:tcPr>
          <w:p>
            <w:pPr>
              <w:spacing w:after="0"/>
              <w:rPr>
                <w:sz w:val="2"/>
                <w:szCs w:val="2"/>
                <w:color w:val="auto"/>
              </w:rPr>
            </w:pPr>
          </w:p>
        </w:tc>
      </w:tr>
      <w:tr>
        <w:trPr>
          <w:trHeight w:val="169"/>
        </w:trPr>
        <w:tc>
          <w:tcPr>
            <w:tcW w:w="2060" w:type="dxa"/>
            <w:vAlign w:val="bottom"/>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5.875% Senior Notes</w:t>
            </w:r>
          </w:p>
        </w:tc>
        <w:tc>
          <w:tcPr>
            <w:tcW w:w="100" w:type="dxa"/>
            <w:vAlign w:val="bottom"/>
            <w:shd w:val="clear" w:color="auto" w:fill="CCEEFF"/>
          </w:tcPr>
          <w:p>
            <w:pPr>
              <w:spacing w:after="0"/>
              <w:rPr>
                <w:sz w:val="14"/>
                <w:szCs w:val="14"/>
                <w:color w:val="auto"/>
              </w:rPr>
            </w:pPr>
          </w:p>
        </w:tc>
        <w:tc>
          <w:tcPr>
            <w:tcW w:w="1560" w:type="dxa"/>
            <w:vAlign w:val="bottom"/>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October 2017</w:t>
            </w:r>
          </w:p>
        </w:tc>
        <w:tc>
          <w:tcPr>
            <w:tcW w:w="100" w:type="dxa"/>
            <w:vAlign w:val="bottom"/>
            <w:shd w:val="clear" w:color="auto" w:fill="CCEEFF"/>
          </w:tcPr>
          <w:p>
            <w:pPr>
              <w:spacing w:after="0"/>
              <w:rPr>
                <w:sz w:val="14"/>
                <w:szCs w:val="14"/>
                <w:color w:val="auto"/>
              </w:rPr>
            </w:pPr>
          </w:p>
        </w:tc>
        <w:tc>
          <w:tcPr>
            <w:tcW w:w="1360" w:type="dxa"/>
            <w:vAlign w:val="bottom"/>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October 2027</w:t>
            </w:r>
          </w:p>
        </w:tc>
        <w:tc>
          <w:tcPr>
            <w:tcW w:w="100" w:type="dxa"/>
            <w:vAlign w:val="bottom"/>
            <w:shd w:val="clear" w:color="auto" w:fill="CCEEFF"/>
          </w:tcPr>
          <w:p>
            <w:pPr>
              <w:spacing w:after="0"/>
              <w:rPr>
                <w:sz w:val="14"/>
                <w:szCs w:val="14"/>
                <w:color w:val="auto"/>
              </w:rPr>
            </w:pPr>
          </w:p>
        </w:tc>
        <w:tc>
          <w:tcPr>
            <w:tcW w:w="5920" w:type="dxa"/>
            <w:vAlign w:val="bottom"/>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Callable at any time prior to October 15, 2022, in whole or in part, at a</w:t>
            </w:r>
          </w:p>
        </w:tc>
      </w:tr>
      <w:tr>
        <w:trPr>
          <w:trHeight w:val="184"/>
        </w:trPr>
        <w:tc>
          <w:tcPr>
            <w:tcW w:w="2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92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redemption price equal to 100.000% of the principal amount, plus a customary</w:t>
            </w:r>
          </w:p>
        </w:tc>
      </w:tr>
      <w:tr>
        <w:trPr>
          <w:trHeight w:val="180"/>
        </w:trPr>
        <w:tc>
          <w:tcPr>
            <w:tcW w:w="2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92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make-whole premium; on or after October 15, 2022, callable at a redemption</w:t>
            </w:r>
          </w:p>
        </w:tc>
      </w:tr>
      <w:tr>
        <w:trPr>
          <w:trHeight w:val="175"/>
        </w:trPr>
        <w:tc>
          <w:tcPr>
            <w:tcW w:w="2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9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price equal to 102.938% of the principal amount; on or after October 15, 2023,</w:t>
            </w:r>
          </w:p>
        </w:tc>
      </w:tr>
      <w:tr>
        <w:trPr>
          <w:trHeight w:val="184"/>
        </w:trPr>
        <w:tc>
          <w:tcPr>
            <w:tcW w:w="2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92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callable at a redemption price equal to 101.958% of the principal amount; on or</w:t>
            </w:r>
          </w:p>
        </w:tc>
      </w:tr>
      <w:tr>
        <w:trPr>
          <w:trHeight w:val="180"/>
        </w:trPr>
        <w:tc>
          <w:tcPr>
            <w:tcW w:w="2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92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after October 15, 2024, callable at a redemption price equal to 100.979% of the</w:t>
            </w:r>
          </w:p>
        </w:tc>
      </w:tr>
      <w:tr>
        <w:trPr>
          <w:trHeight w:val="175"/>
        </w:trPr>
        <w:tc>
          <w:tcPr>
            <w:tcW w:w="2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9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principal amount; on or after October 15, 2025, callable at a redemption price</w:t>
            </w:r>
          </w:p>
        </w:tc>
      </w:tr>
      <w:tr>
        <w:trPr>
          <w:trHeight w:val="184"/>
        </w:trPr>
        <w:tc>
          <w:tcPr>
            <w:tcW w:w="2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92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equal to 100.000% of the principal amount, plus, in each case, accrued and</w:t>
            </w:r>
          </w:p>
        </w:tc>
      </w:tr>
      <w:tr>
        <w:trPr>
          <w:trHeight w:val="234"/>
        </w:trPr>
        <w:tc>
          <w:tcPr>
            <w:tcW w:w="2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unpaid interest.</w:t>
            </w:r>
          </w:p>
        </w:tc>
      </w:tr>
      <w:tr>
        <w:trPr>
          <w:trHeight w:val="176"/>
        </w:trPr>
        <w:tc>
          <w:tcPr>
            <w:tcW w:w="216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7.250% Senior Notes</w:t>
            </w:r>
          </w:p>
        </w:tc>
        <w:tc>
          <w:tcPr>
            <w:tcW w:w="166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September 2019</w:t>
            </w:r>
          </w:p>
        </w:tc>
        <w:tc>
          <w:tcPr>
            <w:tcW w:w="13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October 2029</w:t>
            </w:r>
          </w:p>
        </w:tc>
        <w:tc>
          <w:tcPr>
            <w:tcW w:w="100" w:type="dxa"/>
            <w:vAlign w:val="bottom"/>
          </w:tcPr>
          <w:p>
            <w:pPr>
              <w:spacing w:after="0"/>
              <w:rPr>
                <w:sz w:val="15"/>
                <w:szCs w:val="15"/>
                <w:color w:val="auto"/>
              </w:rPr>
            </w:pPr>
          </w:p>
        </w:tc>
        <w:tc>
          <w:tcPr>
            <w:tcW w:w="59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Callable at any time prior to October 15, 2024, in whole or in part, at a</w:t>
            </w:r>
          </w:p>
        </w:tc>
      </w:tr>
      <w:tr>
        <w:trPr>
          <w:trHeight w:val="184"/>
        </w:trPr>
        <w:tc>
          <w:tcPr>
            <w:tcW w:w="2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92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redemption price equal to 100.000% of the principal amount, plus a customary</w:t>
            </w:r>
          </w:p>
        </w:tc>
      </w:tr>
      <w:tr>
        <w:trPr>
          <w:trHeight w:val="180"/>
        </w:trPr>
        <w:tc>
          <w:tcPr>
            <w:tcW w:w="2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92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make-whole premium; on or after October 15, 2024, callable at a redemption</w:t>
            </w:r>
          </w:p>
        </w:tc>
      </w:tr>
      <w:tr>
        <w:trPr>
          <w:trHeight w:val="176"/>
        </w:trPr>
        <w:tc>
          <w:tcPr>
            <w:tcW w:w="2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9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price equal to 103.625% of the principal amount; on or after October 15, 2025,</w:t>
            </w:r>
          </w:p>
        </w:tc>
      </w:tr>
      <w:tr>
        <w:trPr>
          <w:trHeight w:val="184"/>
        </w:trPr>
        <w:tc>
          <w:tcPr>
            <w:tcW w:w="2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92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callable at a redemption price equal to 102.417% of the principal amount; on or</w:t>
            </w:r>
          </w:p>
        </w:tc>
      </w:tr>
      <w:tr>
        <w:trPr>
          <w:trHeight w:val="180"/>
        </w:trPr>
        <w:tc>
          <w:tcPr>
            <w:tcW w:w="2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92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after October 15, 2026, callable at a redemption price equal to 101.208% of the</w:t>
            </w:r>
          </w:p>
        </w:tc>
      </w:tr>
      <w:tr>
        <w:trPr>
          <w:trHeight w:val="176"/>
        </w:trPr>
        <w:tc>
          <w:tcPr>
            <w:tcW w:w="2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9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principal amount; on or after October 15, 2027, callable at a redemption price</w:t>
            </w:r>
          </w:p>
        </w:tc>
      </w:tr>
      <w:tr>
        <w:trPr>
          <w:trHeight w:val="184"/>
        </w:trPr>
        <w:tc>
          <w:tcPr>
            <w:tcW w:w="2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92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equal to 100.000% of the principal amount, plus, in each case, accrued and</w:t>
            </w:r>
          </w:p>
        </w:tc>
      </w:tr>
      <w:tr>
        <w:trPr>
          <w:trHeight w:val="234"/>
        </w:trPr>
        <w:tc>
          <w:tcPr>
            <w:tcW w:w="2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unpaid interest.</w:t>
            </w:r>
          </w:p>
        </w:tc>
      </w:tr>
      <w:tr>
        <w:trPr>
          <w:trHeight w:val="234"/>
        </w:trPr>
        <w:tc>
          <w:tcPr>
            <w:tcW w:w="2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7.500% Senior Notes</w:t>
            </w:r>
          </w:p>
        </w:tc>
        <w:tc>
          <w:tcPr>
            <w:tcW w:w="1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March 2024</w:t>
            </w:r>
          </w:p>
        </w:tc>
        <w:tc>
          <w:tcPr>
            <w:tcW w:w="1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March 2031</w:t>
            </w:r>
          </w:p>
        </w:tc>
        <w:tc>
          <w:tcPr>
            <w:tcW w:w="100" w:type="dxa"/>
            <w:vAlign w:val="bottom"/>
            <w:shd w:val="clear" w:color="auto" w:fill="CCEEFF"/>
          </w:tcPr>
          <w:p>
            <w:pPr>
              <w:spacing w:after="0"/>
              <w:rPr>
                <w:sz w:val="20"/>
                <w:szCs w:val="20"/>
                <w:color w:val="auto"/>
              </w:rPr>
            </w:pPr>
          </w:p>
        </w:tc>
        <w:tc>
          <w:tcPr>
            <w:tcW w:w="5920" w:type="dxa"/>
            <w:vAlign w:val="bottom"/>
            <w:shd w:val="clear" w:color="auto" w:fill="CCEEFF"/>
          </w:tcPr>
          <w:p>
            <w:pPr>
              <w:spacing w:after="0"/>
              <w:rPr>
                <w:sz w:val="20"/>
                <w:szCs w:val="20"/>
                <w:color w:val="auto"/>
              </w:rPr>
            </w:pPr>
          </w:p>
        </w:tc>
      </w:tr>
      <w:tr>
        <w:trPr>
          <w:trHeight w:val="319"/>
        </w:trPr>
        <w:tc>
          <w:tcPr>
            <w:tcW w:w="2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On or prior to March 15, 2027, we may redeem up to 35% of the aggregate</w:t>
            </w:r>
          </w:p>
        </w:tc>
      </w:tr>
      <w:tr>
        <w:trPr>
          <w:trHeight w:val="184"/>
        </w:trPr>
        <w:tc>
          <w:tcPr>
            <w:tcW w:w="2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92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principal amount of the 2031 Notes with the net cash proceeds of certain equity</w:t>
            </w:r>
          </w:p>
        </w:tc>
      </w:tr>
      <w:tr>
        <w:trPr>
          <w:trHeight w:val="180"/>
        </w:trPr>
        <w:tc>
          <w:tcPr>
            <w:tcW w:w="2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92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offerings at a redemption price equal to 107.500% of the principal amount, plus</w:t>
            </w:r>
          </w:p>
        </w:tc>
      </w:tr>
      <w:tr>
        <w:trPr>
          <w:trHeight w:val="175"/>
        </w:trPr>
        <w:tc>
          <w:tcPr>
            <w:tcW w:w="2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9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accrued and unpaid interest to, but excluding, the redemption date, provided at</w:t>
            </w:r>
          </w:p>
        </w:tc>
      </w:tr>
      <w:tr>
        <w:trPr>
          <w:trHeight w:val="184"/>
        </w:trPr>
        <w:tc>
          <w:tcPr>
            <w:tcW w:w="2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92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least 65% of the aggregate principal amount of the 2031 Notes originally issued</w:t>
            </w:r>
          </w:p>
        </w:tc>
      </w:tr>
      <w:tr>
        <w:trPr>
          <w:trHeight w:val="234"/>
        </w:trPr>
        <w:tc>
          <w:tcPr>
            <w:tcW w:w="2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remains outstanding immediately after such redemption.</w:t>
            </w:r>
          </w:p>
        </w:tc>
      </w:tr>
      <w:tr>
        <w:trPr>
          <w:trHeight w:val="176"/>
        </w:trPr>
        <w:tc>
          <w:tcPr>
            <w:tcW w:w="2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9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Callable at any time prior to March 15, 2027, in whole or in part, at a redemption</w:t>
            </w:r>
          </w:p>
        </w:tc>
      </w:tr>
      <w:tr>
        <w:trPr>
          <w:trHeight w:val="184"/>
        </w:trPr>
        <w:tc>
          <w:tcPr>
            <w:tcW w:w="2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92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price equal to 100.000% of the principal amount, plus a customary make-whole</w:t>
            </w:r>
          </w:p>
        </w:tc>
      </w:tr>
      <w:tr>
        <w:trPr>
          <w:trHeight w:val="180"/>
        </w:trPr>
        <w:tc>
          <w:tcPr>
            <w:tcW w:w="2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92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premium; on or after March 15, 2027, callable at a redemption price equal to</w:t>
            </w:r>
          </w:p>
        </w:tc>
      </w:tr>
      <w:tr>
        <w:trPr>
          <w:trHeight w:val="175"/>
        </w:trPr>
        <w:tc>
          <w:tcPr>
            <w:tcW w:w="2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9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103.750% of the principal amount; on or after March 15, 2028, callable at a</w:t>
            </w:r>
          </w:p>
        </w:tc>
      </w:tr>
      <w:tr>
        <w:trPr>
          <w:trHeight w:val="184"/>
        </w:trPr>
        <w:tc>
          <w:tcPr>
            <w:tcW w:w="2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92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redemption price equal to 101.875% of the principal amount; on or after March</w:t>
            </w:r>
          </w:p>
        </w:tc>
      </w:tr>
      <w:tr>
        <w:trPr>
          <w:trHeight w:val="180"/>
        </w:trPr>
        <w:tc>
          <w:tcPr>
            <w:tcW w:w="2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92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15, 2029, callable at a redemption price equal to 100.000% of the principal</w:t>
            </w:r>
          </w:p>
        </w:tc>
      </w:tr>
      <w:tr>
        <w:trPr>
          <w:trHeight w:val="234"/>
        </w:trPr>
        <w:tc>
          <w:tcPr>
            <w:tcW w:w="2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amount, plus, in each case, accrued and unpaid interest.</w:t>
            </w:r>
          </w:p>
        </w:tc>
      </w:tr>
      <w:tr>
        <w:trPr>
          <w:trHeight w:val="400"/>
        </w:trPr>
        <w:tc>
          <w:tcPr>
            <w:tcW w:w="2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920" w:type="dxa"/>
            <w:vAlign w:val="bottom"/>
            <w:shd w:val="clear" w:color="auto" w:fill="CCEEFF"/>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Junior Subordinated Notes</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Company's unsecured junior subordinated notes (Junior Subordinated Notes) mature on July 30, 2036 and have an aggregate principal balance of $100.8 million as of December 31, 2025. The securities have a floating interest rate as defined in the Junior Subordinated Notes Indentures, wh</w:t>
      </w:r>
      <w:r>
        <w:rPr>
          <w:rFonts w:ascii="Times New Roman" w:cs="Times New Roman" w:eastAsia="Times New Roman" w:hAnsi="Times New Roman"/>
          <w:sz w:val="18"/>
          <w:szCs w:val="18"/>
          <w:color w:val="0A2299"/>
        </w:rPr>
        <w:t>i</w:t>
      </w:r>
      <w:r>
        <w:rPr>
          <w:rFonts w:ascii="Times New Roman" w:cs="Times New Roman" w:eastAsia="Times New Roman" w:hAnsi="Times New Roman"/>
          <w:sz w:val="18"/>
          <w:szCs w:val="18"/>
          <w:color w:val="auto"/>
        </w:rPr>
        <w:t>ch was a weighted-average of 6.55% as of December 31, 2025. The obligations relating to these notes are subordinated to the Unsecured Facility and the Senior Notes. In January 2010, the Company restructured $75.0 million of these notes (Restructured Notes) and recorded them at their then estimated fair value. Over the remaining life of the Restructured Notes, we will increase their carrying value until this carrying value equals the face value of the notes. As of December 31, 2025, the unamortized accretion was $21.8 million and will be amortized over the remaining life of the Restructured Notes. The remaining $25.8 million of the Junior Subordinated Notes are subject to the terms of the original agreement, have a floating interest rate equal to a three-month SOFR plus 2.71% per annum, resetting quarterly, and are redeemable in whole or in part at par value. The material terms of the $75.0 million Restructured Notes are identical to the terms of the original agreement except that the floating interest rate is subject to a floor of 4.25% and a cap of 9.25%. In addition, beginning on June 1, 2012, the Company has the option to redeem the $75.0 million principal balance in whole or in part at 75% of par value, and beginning on June 1, 2022, the redemption price has increased by 1.785% annually. As of December 31, 2025, the Company believes it was in compliance with all covenants under the Junior Subordinated Notes.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Operating Leases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leases certain office space and equipment under operating leases for use in our operations. We recognize operating lease expense on a straight-line basis over the lease term. Some of our lease agreements include one or more options to renew. The exercise of lease renewal options is generally at our discretion. Variable lease expense primarily relates to maintenance and other monthly expenses that do not depend on an index or rate.</w:t>
      </w:r>
    </w:p>
    <w:p>
      <w:pPr>
        <w:spacing w:after="0" w:line="12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determine if an arrangement is a lease at contract inception. Lease and non-lease components are accounted for as a single component for all leases. Operating lease right-of-use assets and liabilities are recognized at the lease commencement date based on the present value of the future lease payments over the expected lease term, which includes optional renewal periods if we determine it is reasonably certain that the option will be exercised. As our leases do not provide an implicit rate, the discount rate used in the present value calculation represents our incremental borrowing rate determined using information available at the commencement date.</w:t>
      </w:r>
    </w:p>
    <w:p>
      <w:pPr>
        <w:spacing w:after="0" w:line="1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Operating lease expense is included as a component of general and administrative expenses in our condensed consolidated statements of operations. Sublease income and variable lease expenses are de minimis. The following table presents operating lease expense and cash payments on lease liabilities for the periods presented:</w:t>
      </w:r>
    </w:p>
    <w:p>
      <w:pPr>
        <w:spacing w:after="0" w:line="156"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7920" w:type="dxa"/>
            <w:vAlign w:val="bottom"/>
          </w:tcPr>
          <w:p>
            <w:pPr>
              <w:spacing w:after="0"/>
              <w:rPr>
                <w:sz w:val="16"/>
                <w:szCs w:val="16"/>
                <w:color w:val="auto"/>
              </w:rPr>
            </w:pPr>
          </w:p>
        </w:tc>
        <w:tc>
          <w:tcPr>
            <w:tcW w:w="3260" w:type="dxa"/>
            <w:vAlign w:val="bottom"/>
            <w:gridSpan w:val="2"/>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0" w:type="dxa"/>
            <w:vAlign w:val="bottom"/>
          </w:tcPr>
          <w:p>
            <w:pPr>
              <w:spacing w:after="0"/>
              <w:rPr>
                <w:sz w:val="1"/>
                <w:szCs w:val="1"/>
                <w:color w:val="auto"/>
              </w:rPr>
            </w:pPr>
          </w:p>
        </w:tc>
      </w:tr>
      <w:tr>
        <w:trPr>
          <w:trHeight w:val="23"/>
        </w:trPr>
        <w:tc>
          <w:tcPr>
            <w:tcW w:w="792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6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7920" w:type="dxa"/>
            <w:vAlign w:val="bottom"/>
            <w:vMerge w:val="continue"/>
          </w:tcPr>
          <w:p>
            <w:pPr>
              <w:spacing w:after="0"/>
              <w:rPr>
                <w:sz w:val="15"/>
                <w:szCs w:val="15"/>
                <w:color w:val="auto"/>
              </w:rPr>
            </w:pPr>
          </w:p>
        </w:tc>
        <w:tc>
          <w:tcPr>
            <w:tcW w:w="1620" w:type="dxa"/>
            <w:vAlign w:val="bottom"/>
          </w:tcPr>
          <w:p>
            <w:pPr>
              <w:jc w:val="right"/>
              <w:ind w:right="62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40" w:type="dxa"/>
            <w:vAlign w:val="bottom"/>
          </w:tcPr>
          <w:p>
            <w:pPr>
              <w:jc w:val="right"/>
              <w:ind w:right="568"/>
              <w:spacing w:after="0"/>
              <w:rPr>
                <w:sz w:val="20"/>
                <w:szCs w:val="20"/>
                <w:color w:val="auto"/>
              </w:rPr>
            </w:pPr>
            <w:r>
              <w:rPr>
                <w:rFonts w:ascii="Times New Roman" w:cs="Times New Roman" w:eastAsia="Times New Roman" w:hAnsi="Times New Roman"/>
                <w:sz w:val="14"/>
                <w:szCs w:val="14"/>
                <w:color w:val="auto"/>
              </w:rPr>
              <w:t>2024</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7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expense</w:t>
            </w:r>
          </w:p>
        </w:tc>
        <w:tc>
          <w:tcPr>
            <w:tcW w:w="600" w:type="dxa"/>
            <w:vAlign w:val="bottom"/>
            <w:tcBorders>
              <w:top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3,433</w:t>
            </w:r>
          </w:p>
        </w:tc>
        <w:tc>
          <w:tcPr>
            <w:tcW w:w="680" w:type="dxa"/>
            <w:vAlign w:val="bottom"/>
            <w:tcBorders>
              <w:top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1,163</w:t>
            </w:r>
          </w:p>
        </w:tc>
      </w:tr>
      <w:tr>
        <w:trPr>
          <w:trHeight w:val="238"/>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payments on lease liabilities</w:t>
            </w:r>
          </w:p>
        </w:tc>
        <w:tc>
          <w:tcPr>
            <w:tcW w:w="60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1,900</w:t>
            </w:r>
          </w:p>
        </w:tc>
        <w:tc>
          <w:tcPr>
            <w:tcW w:w="68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1,113</w:t>
            </w:r>
          </w:p>
        </w:tc>
      </w:tr>
      <w:tr>
        <w:trPr>
          <w:trHeight w:val="464"/>
        </w:trPr>
        <w:tc>
          <w:tcPr>
            <w:tcW w:w="8540" w:type="dxa"/>
            <w:vAlign w:val="bottom"/>
            <w:gridSpan w:val="2"/>
          </w:tcPr>
          <w:p>
            <w:pPr>
              <w:jc w:val="right"/>
              <w:ind w:right="410"/>
              <w:spacing w:after="0"/>
              <w:rPr>
                <w:sz w:val="20"/>
                <w:szCs w:val="20"/>
                <w:color w:val="auto"/>
              </w:rPr>
            </w:pPr>
            <w:r>
              <w:rPr>
                <w:rFonts w:ascii="Times New Roman" w:cs="Times New Roman" w:eastAsia="Times New Roman" w:hAnsi="Times New Roman"/>
                <w:sz w:val="18"/>
                <w:szCs w:val="18"/>
                <w:color w:val="auto"/>
                <w:w w:val="99"/>
              </w:rPr>
              <w:t>At December 31, 2025 and 2024, the weighted-average remaining lease term and discount rate were as follows:</w:t>
            </w:r>
          </w:p>
        </w:tc>
        <w:tc>
          <w:tcPr>
            <w:tcW w:w="10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80" w:type="dxa"/>
            <w:vAlign w:val="bottom"/>
          </w:tcPr>
          <w:p>
            <w:pPr>
              <w:spacing w:after="0"/>
              <w:rPr>
                <w:sz w:val="24"/>
                <w:szCs w:val="24"/>
                <w:color w:val="auto"/>
              </w:rPr>
            </w:pPr>
          </w:p>
        </w:tc>
      </w:tr>
    </w:tbl>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220" w:type="dxa"/>
            <w:vAlign w:val="bottom"/>
          </w:tcPr>
          <w:p>
            <w:pPr>
              <w:spacing w:after="0"/>
              <w:rPr>
                <w:sz w:val="16"/>
                <w:szCs w:val="16"/>
                <w:color w:val="auto"/>
              </w:rPr>
            </w:pPr>
          </w:p>
        </w:tc>
        <w:tc>
          <w:tcPr>
            <w:tcW w:w="3720" w:type="dxa"/>
            <w:vAlign w:val="bottom"/>
          </w:tcPr>
          <w:p>
            <w:pPr>
              <w:spacing w:after="0"/>
              <w:rPr>
                <w:sz w:val="16"/>
                <w:szCs w:val="16"/>
                <w:color w:val="auto"/>
              </w:rPr>
            </w:pPr>
          </w:p>
        </w:tc>
        <w:tc>
          <w:tcPr>
            <w:tcW w:w="3300" w:type="dxa"/>
            <w:vAlign w:val="bottom"/>
            <w:gridSpan w:val="3"/>
          </w:tcPr>
          <w:p>
            <w:pPr>
              <w:ind w:left="1040"/>
              <w:spacing w:after="0"/>
              <w:rPr>
                <w:sz w:val="20"/>
                <w:szCs w:val="20"/>
                <w:color w:val="auto"/>
              </w:rPr>
            </w:pPr>
            <w:r>
              <w:rPr>
                <w:rFonts w:ascii="Times New Roman" w:cs="Times New Roman" w:eastAsia="Times New Roman" w:hAnsi="Times New Roman"/>
                <w:sz w:val="14"/>
                <w:szCs w:val="14"/>
                <w:b w:val="1"/>
                <w:bCs w:val="1"/>
                <w:color w:val="auto"/>
              </w:rPr>
              <w:t>As of December 31,</w:t>
            </w:r>
          </w:p>
        </w:tc>
      </w:tr>
      <w:tr>
        <w:trPr>
          <w:trHeight w:val="23"/>
        </w:trPr>
        <w:tc>
          <w:tcPr>
            <w:tcW w:w="4220" w:type="dxa"/>
            <w:vAlign w:val="bottom"/>
          </w:tcPr>
          <w:p>
            <w:pPr>
              <w:spacing w:after="0"/>
              <w:rPr>
                <w:sz w:val="2"/>
                <w:szCs w:val="2"/>
                <w:color w:val="auto"/>
              </w:rPr>
            </w:pPr>
          </w:p>
        </w:tc>
        <w:tc>
          <w:tcPr>
            <w:tcW w:w="5360" w:type="dxa"/>
            <w:vAlign w:val="bottom"/>
            <w:gridSpan w:val="2"/>
          </w:tcPr>
          <w:p>
            <w:pPr>
              <w:spacing w:after="0"/>
              <w:rPr>
                <w:sz w:val="2"/>
                <w:szCs w:val="2"/>
                <w:color w:val="auto"/>
              </w:rPr>
            </w:pPr>
          </w:p>
        </w:tc>
        <w:tc>
          <w:tcPr>
            <w:tcW w:w="162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190"/>
        </w:trPr>
        <w:tc>
          <w:tcPr>
            <w:tcW w:w="4220" w:type="dxa"/>
            <w:vAlign w:val="bottom"/>
            <w:tcBorders>
              <w:bottom w:val="single" w:sz="8" w:color="CCEEFF"/>
            </w:tcBorders>
          </w:tcPr>
          <w:p>
            <w:pPr>
              <w:spacing w:after="0"/>
              <w:rPr>
                <w:sz w:val="16"/>
                <w:szCs w:val="16"/>
                <w:color w:val="auto"/>
              </w:rPr>
            </w:pPr>
          </w:p>
        </w:tc>
        <w:tc>
          <w:tcPr>
            <w:tcW w:w="3720" w:type="dxa"/>
            <w:vAlign w:val="bottom"/>
            <w:tcBorders>
              <w:bottom w:val="single" w:sz="8" w:color="CCEEFF"/>
            </w:tcBorders>
          </w:tcPr>
          <w:p>
            <w:pPr>
              <w:spacing w:after="0"/>
              <w:rPr>
                <w:sz w:val="16"/>
                <w:szCs w:val="16"/>
                <w:color w:val="auto"/>
              </w:rPr>
            </w:pPr>
          </w:p>
        </w:tc>
        <w:tc>
          <w:tcPr>
            <w:tcW w:w="1640" w:type="dxa"/>
            <w:vAlign w:val="bottom"/>
            <w:tcBorders>
              <w:top w:val="single" w:sz="8" w:color="auto"/>
              <w:bottom w:val="single" w:sz="8" w:color="auto"/>
            </w:tcBorders>
          </w:tcPr>
          <w:p>
            <w:pPr>
              <w:jc w:val="right"/>
              <w:ind w:right="64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20" w:type="dxa"/>
            <w:vAlign w:val="bottom"/>
            <w:tcBorders>
              <w:top w:val="single" w:sz="8" w:color="auto"/>
              <w:bottom w:val="single" w:sz="8" w:color="auto"/>
            </w:tcBorders>
          </w:tcPr>
          <w:p>
            <w:pPr>
              <w:jc w:val="right"/>
              <w:ind w:right="556"/>
              <w:spacing w:after="0"/>
              <w:rPr>
                <w:sz w:val="20"/>
                <w:szCs w:val="20"/>
                <w:color w:val="auto"/>
              </w:rPr>
            </w:pPr>
            <w:r>
              <w:rPr>
                <w:rFonts w:ascii="Times New Roman" w:cs="Times New Roman" w:eastAsia="Times New Roman" w:hAnsi="Times New Roman"/>
                <w:sz w:val="14"/>
                <w:szCs w:val="14"/>
                <w:color w:val="auto"/>
              </w:rPr>
              <w:t>2024</w:t>
            </w:r>
          </w:p>
        </w:tc>
        <w:tc>
          <w:tcPr>
            <w:tcW w:w="40" w:type="dxa"/>
            <w:vAlign w:val="bottom"/>
          </w:tcPr>
          <w:p>
            <w:pPr>
              <w:spacing w:after="0"/>
              <w:rPr>
                <w:sz w:val="16"/>
                <w:szCs w:val="16"/>
                <w:color w:val="auto"/>
              </w:rPr>
            </w:pPr>
          </w:p>
        </w:tc>
      </w:tr>
      <w:tr>
        <w:trPr>
          <w:trHeight w:val="229"/>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remaining lease term</w:t>
            </w:r>
          </w:p>
        </w:tc>
        <w:tc>
          <w:tcPr>
            <w:tcW w:w="3720" w:type="dxa"/>
            <w:vAlign w:val="bottom"/>
            <w:shd w:val="clear" w:color="auto" w:fill="CCEEFF"/>
          </w:tcPr>
          <w:p>
            <w:pPr>
              <w:spacing w:after="0"/>
              <w:rPr>
                <w:sz w:val="19"/>
                <w:szCs w:val="19"/>
                <w:color w:val="auto"/>
              </w:rPr>
            </w:pPr>
          </w:p>
        </w:tc>
        <w:tc>
          <w:tcPr>
            <w:tcW w:w="16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b w:val="1"/>
                <w:bCs w:val="1"/>
                <w:color w:val="auto"/>
              </w:rPr>
              <w:t>5.0 years</w:t>
            </w:r>
          </w:p>
        </w:tc>
        <w:tc>
          <w:tcPr>
            <w:tcW w:w="16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6.5 years</w:t>
            </w:r>
          </w:p>
        </w:tc>
        <w:tc>
          <w:tcPr>
            <w:tcW w:w="40" w:type="dxa"/>
            <w:vAlign w:val="bottom"/>
          </w:tcPr>
          <w:p>
            <w:pPr>
              <w:spacing w:after="0"/>
              <w:rPr>
                <w:sz w:val="19"/>
                <w:szCs w:val="19"/>
                <w:color w:val="auto"/>
              </w:rPr>
            </w:pPr>
          </w:p>
        </w:tc>
      </w:tr>
      <w:tr>
        <w:trPr>
          <w:trHeight w:val="238"/>
        </w:trPr>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5360" w:type="dxa"/>
            <w:vAlign w:val="bottom"/>
            <w:gridSpan w:val="2"/>
          </w:tcPr>
          <w:p>
            <w:pPr>
              <w:jc w:val="right"/>
              <w:ind w:right="542"/>
              <w:spacing w:after="0"/>
              <w:rPr>
                <w:sz w:val="20"/>
                <w:szCs w:val="20"/>
                <w:color w:val="auto"/>
              </w:rPr>
            </w:pPr>
            <w:r>
              <w:rPr>
                <w:rFonts w:ascii="Times New Roman" w:cs="Times New Roman" w:eastAsia="Times New Roman" w:hAnsi="Times New Roman"/>
                <w:sz w:val="18"/>
                <w:szCs w:val="18"/>
                <w:b w:val="1"/>
                <w:bCs w:val="1"/>
                <w:color w:val="auto"/>
              </w:rPr>
              <w:t>4.84%</w:t>
            </w:r>
          </w:p>
        </w:tc>
        <w:tc>
          <w:tcPr>
            <w:tcW w:w="1620" w:type="dxa"/>
            <w:vAlign w:val="bottom"/>
          </w:tcPr>
          <w:p>
            <w:pPr>
              <w:jc w:val="right"/>
              <w:ind w:right="476"/>
              <w:spacing w:after="0"/>
              <w:rPr>
                <w:sz w:val="20"/>
                <w:szCs w:val="20"/>
                <w:color w:val="auto"/>
              </w:rPr>
            </w:pPr>
            <w:r>
              <w:rPr>
                <w:rFonts w:ascii="Times New Roman" w:cs="Times New Roman" w:eastAsia="Times New Roman" w:hAnsi="Times New Roman"/>
                <w:sz w:val="18"/>
                <w:szCs w:val="18"/>
                <w:color w:val="auto"/>
              </w:rPr>
              <w:t>6.30%</w:t>
            </w:r>
          </w:p>
        </w:tc>
        <w:tc>
          <w:tcPr>
            <w:tcW w:w="40" w:type="dxa"/>
            <w:vAlign w:val="bottom"/>
          </w:tcPr>
          <w:p>
            <w:pPr>
              <w:spacing w:after="0"/>
              <w:rPr>
                <w:sz w:val="20"/>
                <w:szCs w:val="20"/>
                <w:color w:val="auto"/>
              </w:rPr>
            </w:pPr>
          </w:p>
        </w:tc>
      </w:tr>
      <w:tr>
        <w:trPr>
          <w:trHeight w:val="845"/>
        </w:trPr>
        <w:tc>
          <w:tcPr>
            <w:tcW w:w="4220" w:type="dxa"/>
            <w:vAlign w:val="bottom"/>
          </w:tcPr>
          <w:p>
            <w:pPr>
              <w:spacing w:after="0"/>
              <w:rPr>
                <w:sz w:val="24"/>
                <w:szCs w:val="24"/>
                <w:color w:val="auto"/>
              </w:rPr>
            </w:pPr>
          </w:p>
        </w:tc>
        <w:tc>
          <w:tcPr>
            <w:tcW w:w="3720" w:type="dxa"/>
            <w:vAlign w:val="bottom"/>
          </w:tcPr>
          <w:p>
            <w:pPr>
              <w:jc w:val="right"/>
              <w:ind w:right="2159"/>
              <w:spacing w:after="0"/>
              <w:rPr>
                <w:sz w:val="20"/>
                <w:szCs w:val="20"/>
                <w:color w:val="auto"/>
              </w:rPr>
            </w:pPr>
            <w:r>
              <w:rPr>
                <w:rFonts w:ascii="Times New Roman" w:cs="Times New Roman" w:eastAsia="Times New Roman" w:hAnsi="Times New Roman"/>
                <w:sz w:val="14"/>
                <w:szCs w:val="14"/>
                <w:color w:val="auto"/>
              </w:rPr>
              <w:t>14</w:t>
            </w:r>
          </w:p>
        </w:tc>
        <w:tc>
          <w:tcPr>
            <w:tcW w:w="16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12"/>
        </w:trPr>
        <w:tc>
          <w:tcPr>
            <w:tcW w:w="4220" w:type="dxa"/>
            <w:vAlign w:val="bottom"/>
            <w:tcBorders>
              <w:bottom w:val="single" w:sz="8" w:color="9A9A9A"/>
            </w:tcBorders>
          </w:tcPr>
          <w:p>
            <w:pPr>
              <w:spacing w:after="0"/>
              <w:rPr>
                <w:sz w:val="9"/>
                <w:szCs w:val="9"/>
                <w:color w:val="auto"/>
              </w:rPr>
            </w:pPr>
          </w:p>
        </w:tc>
        <w:tc>
          <w:tcPr>
            <w:tcW w:w="3720" w:type="dxa"/>
            <w:vAlign w:val="bottom"/>
            <w:tcBorders>
              <w:bottom w:val="single" w:sz="8" w:color="9A9A9A"/>
            </w:tcBorders>
          </w:tcPr>
          <w:p>
            <w:pPr>
              <w:spacing w:after="0"/>
              <w:rPr>
                <w:sz w:val="9"/>
                <w:szCs w:val="9"/>
                <w:color w:val="auto"/>
              </w:rPr>
            </w:pPr>
          </w:p>
        </w:tc>
        <w:tc>
          <w:tcPr>
            <w:tcW w:w="1640" w:type="dxa"/>
            <w:vAlign w:val="bottom"/>
            <w:tcBorders>
              <w:bottom w:val="single" w:sz="8" w:color="9A9A9A"/>
            </w:tcBorders>
          </w:tcPr>
          <w:p>
            <w:pPr>
              <w:spacing w:after="0"/>
              <w:rPr>
                <w:sz w:val="9"/>
                <w:szCs w:val="9"/>
                <w:color w:val="auto"/>
              </w:rPr>
            </w:pPr>
          </w:p>
        </w:tc>
        <w:tc>
          <w:tcPr>
            <w:tcW w:w="16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is a maturity analysis</w:t>
            </w:r>
          </w:p>
        </w:tc>
        <w:tc>
          <w:tcPr>
            <w:tcW w:w="7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of the annual undiscounted cash flows reconciled to the carrying value of the operating lease</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liabilities as</w:t>
            </w:r>
          </w:p>
        </w:tc>
      </w:tr>
      <w:tr>
        <w:trPr>
          <w:trHeight w:val="234"/>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of December 31, 2025:</w:t>
            </w:r>
          </w:p>
        </w:tc>
        <w:tc>
          <w:tcPr>
            <w:tcW w:w="65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06"/>
        </w:trPr>
        <w:tc>
          <w:tcPr>
            <w:tcW w:w="28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Fiscal Years Ending September 30,</w:t>
            </w:r>
          </w:p>
        </w:tc>
        <w:tc>
          <w:tcPr>
            <w:tcW w:w="65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3"/>
        </w:trPr>
        <w:tc>
          <w:tcPr>
            <w:tcW w:w="2880" w:type="dxa"/>
            <w:vAlign w:val="bottom"/>
            <w:tcBorders>
              <w:bottom w:val="single" w:sz="8" w:color="auto"/>
            </w:tcBorders>
          </w:tcPr>
          <w:p>
            <w:pPr>
              <w:spacing w:after="0"/>
              <w:rPr>
                <w:sz w:val="2"/>
                <w:szCs w:val="2"/>
                <w:color w:val="auto"/>
              </w:rPr>
            </w:pPr>
          </w:p>
        </w:tc>
        <w:tc>
          <w:tcPr>
            <w:tcW w:w="65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90"/>
        </w:trPr>
        <w:tc>
          <w:tcPr>
            <w:tcW w:w="28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65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36"/>
        </w:trPr>
        <w:tc>
          <w:tcPr>
            <w:tcW w:w="2880" w:type="dxa"/>
            <w:vAlign w:val="bottom"/>
            <w:shd w:val="clear" w:color="auto" w:fill="CCEEFF"/>
          </w:tcPr>
          <w:p>
            <w:pPr>
              <w:ind w:left="20"/>
              <w:spacing w:after="0" w:line="235" w:lineRule="exact"/>
              <w:rPr>
                <w:sz w:val="20"/>
                <w:szCs w:val="20"/>
                <w:color w:val="auto"/>
              </w:rPr>
            </w:pPr>
            <w:r>
              <w:rPr>
                <w:rFonts w:ascii="Times New Roman" w:cs="Times New Roman" w:eastAsia="Times New Roman" w:hAnsi="Times New Roman"/>
                <w:sz w:val="18"/>
                <w:szCs w:val="18"/>
                <w:color w:val="auto"/>
              </w:rPr>
              <w:t>2026</w:t>
            </w:r>
            <w:r>
              <w:rPr>
                <w:rFonts w:ascii="Times New Roman" w:cs="Times New Roman" w:eastAsia="Times New Roman" w:hAnsi="Times New Roman"/>
                <w:sz w:val="23"/>
                <w:szCs w:val="23"/>
                <w:color w:val="auto"/>
                <w:vertAlign w:val="superscript"/>
              </w:rPr>
              <w:t>(a)</w:t>
            </w:r>
          </w:p>
        </w:tc>
        <w:tc>
          <w:tcPr>
            <w:tcW w:w="7400" w:type="dxa"/>
            <w:vAlign w:val="bottom"/>
            <w:gridSpan w:val="2"/>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6,613</w:t>
            </w:r>
          </w:p>
        </w:tc>
      </w:tr>
      <w:tr>
        <w:trPr>
          <w:trHeight w:val="229"/>
        </w:trPr>
        <w:tc>
          <w:tcPr>
            <w:tcW w:w="2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65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7,298</w:t>
            </w:r>
          </w:p>
        </w:tc>
      </w:tr>
      <w:tr>
        <w:trPr>
          <w:trHeight w:val="229"/>
        </w:trPr>
        <w:tc>
          <w:tcPr>
            <w:tcW w:w="2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65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4,965</w:t>
            </w:r>
          </w:p>
        </w:tc>
      </w:tr>
      <w:tr>
        <w:trPr>
          <w:trHeight w:val="230"/>
        </w:trPr>
        <w:tc>
          <w:tcPr>
            <w:tcW w:w="2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65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4,137</w:t>
            </w:r>
          </w:p>
        </w:tc>
      </w:tr>
      <w:tr>
        <w:trPr>
          <w:trHeight w:val="229"/>
        </w:trPr>
        <w:tc>
          <w:tcPr>
            <w:tcW w:w="2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65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3,307</w:t>
            </w:r>
          </w:p>
        </w:tc>
      </w:tr>
      <w:tr>
        <w:trPr>
          <w:trHeight w:val="229"/>
        </w:trPr>
        <w:tc>
          <w:tcPr>
            <w:tcW w:w="2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652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5,758</w:t>
            </w:r>
          </w:p>
        </w:tc>
      </w:tr>
      <w:tr>
        <w:trPr>
          <w:trHeight w:val="223"/>
        </w:trPr>
        <w:tc>
          <w:tcPr>
            <w:tcW w:w="2880" w:type="dxa"/>
            <w:vAlign w:val="bottom"/>
            <w:shd w:val="clear" w:color="auto" w:fill="CCEEFF"/>
          </w:tcPr>
          <w:p>
            <w:pPr>
              <w:ind w:left="200"/>
              <w:spacing w:after="0" w:line="223" w:lineRule="exact"/>
              <w:rPr>
                <w:sz w:val="20"/>
                <w:szCs w:val="20"/>
                <w:color w:val="auto"/>
              </w:rPr>
            </w:pPr>
            <w:r>
              <w:rPr>
                <w:rFonts w:ascii="Times New Roman" w:cs="Times New Roman" w:eastAsia="Times New Roman" w:hAnsi="Times New Roman"/>
                <w:sz w:val="18"/>
                <w:szCs w:val="18"/>
                <w:color w:val="auto"/>
              </w:rPr>
              <w:t>Total lease payments</w:t>
            </w:r>
            <w:r>
              <w:rPr>
                <w:rFonts w:ascii="Times New Roman" w:cs="Times New Roman" w:eastAsia="Times New Roman" w:hAnsi="Times New Roman"/>
                <w:sz w:val="23"/>
                <w:szCs w:val="23"/>
                <w:color w:val="auto"/>
                <w:vertAlign w:val="superscript"/>
              </w:rPr>
              <w:t>(b)</w:t>
            </w:r>
          </w:p>
        </w:tc>
        <w:tc>
          <w:tcPr>
            <w:tcW w:w="65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32,078</w:t>
            </w:r>
          </w:p>
        </w:tc>
      </w:tr>
      <w:tr>
        <w:trPr>
          <w:trHeight w:val="229"/>
        </w:trPr>
        <w:tc>
          <w:tcPr>
            <w:tcW w:w="288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Less: imputed interest</w:t>
            </w:r>
          </w:p>
        </w:tc>
        <w:tc>
          <w:tcPr>
            <w:tcW w:w="652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4,985</w:t>
            </w:r>
          </w:p>
        </w:tc>
      </w:tr>
      <w:tr>
        <w:trPr>
          <w:trHeight w:val="248"/>
        </w:trPr>
        <w:tc>
          <w:tcPr>
            <w:tcW w:w="288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65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27,093</w:t>
            </w:r>
          </w:p>
        </w:tc>
      </w:tr>
      <w:tr>
        <w:trPr>
          <w:trHeight w:val="20"/>
        </w:trPr>
        <w:tc>
          <w:tcPr>
            <w:tcW w:w="2880" w:type="dxa"/>
            <w:vAlign w:val="bottom"/>
            <w:tcBorders>
              <w:top w:val="single" w:sz="8" w:color="CCEEFF"/>
            </w:tcBorders>
          </w:tcPr>
          <w:p>
            <w:pPr>
              <w:spacing w:after="0" w:line="20" w:lineRule="exact"/>
              <w:rPr>
                <w:sz w:val="1"/>
                <w:szCs w:val="1"/>
                <w:color w:val="auto"/>
              </w:rPr>
            </w:pPr>
          </w:p>
        </w:tc>
        <w:tc>
          <w:tcPr>
            <w:tcW w:w="65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160" w:hanging="152"/>
        <w:spacing w:after="0"/>
        <w:tabs>
          <w:tab w:leader="none" w:pos="160" w:val="left"/>
        </w:tabs>
        <w:numPr>
          <w:ilvl w:val="0"/>
          <w:numId w:val="8"/>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Remaining lease payments are for the period beginning January 1, 2026 through September 30, 2026.</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Contingencies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Beazer Homes and certain of its subsidiaries have been and continue to be named as defendants in various construction defect claims, complaints, and other legal actions. The Company is subject to the possibility of loss contingencies related to these alleged defects as well as others arising from its business. In determining loss contingencies, we consider the likelihood of loss and our ability to reasonably estimate the amount of such loss. An estimated loss is recorded in other liabilities on the condensed consolidated balance sheets when it is considered probable that a liability has been incurred and the amount of loss can be reasonably estimated.</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Warranty Reserves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currently provide a limited warranty ranging from one to two years covering workmanship and materials per our defined quality standards. In addition, we provide a limited warranty for up to ten years covering certain defined structural element failures.</w:t>
      </w:r>
    </w:p>
    <w:p>
      <w:pPr>
        <w:spacing w:after="0" w:line="10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Warranty reserves are included in other liabilities within the consolidated balance sheets, and the provision for warranty accruals is included in home construction expenses in the consolidated statements of operations. Reserves covering anticipated warranty expenses are recorded for each home closed, which are a function of the number of home closings in the period, the selling prices of the homes closed and the rates of accrual per home estimated as a percentage of the selling price of the home. Management assesses the adequacy of warranty reserves each reporting period based on historical experience and the expected costs to remediate potential claims. Our review includes a quarterly analysis of the historical data and trends in warranty expense by division. An analysis by division allows us to consider market specific factors such as warranty experience, the number of home closings, the selling prices of homes, product mix, and other data in estimating warranty reserves. In addition, the analysis also contemplates the existence of any non-recurring or community-specific warranty-related matters that might not be included in historical data and trends that may need to be separately estimated based on management's judgment of the ultimate cost of repair for that specific issue. While estimated warranty liabilities are adjusted each reporting period based on the results of our quarterly analyses, we may not accurately predict actual warranty costs, which could lead to significant changes in the reserve.</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warranty reserves are as follows for the periods presented:</w:t>
      </w:r>
    </w:p>
    <w:p>
      <w:pPr>
        <w:spacing w:after="0" w:line="43"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79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9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9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940" w:type="dxa"/>
            <w:vAlign w:val="bottom"/>
            <w:gridSpan w:val="3"/>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792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920" w:type="dxa"/>
            <w:vAlign w:val="bottom"/>
            <w:tcBorders>
              <w:bottom w:val="single" w:sz="8" w:color="CCEEFF"/>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7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color w:val="auto"/>
              </w:rPr>
              <w:t>2024</w:t>
            </w:r>
          </w:p>
        </w:tc>
        <w:tc>
          <w:tcPr>
            <w:tcW w:w="0" w:type="dxa"/>
            <w:vAlign w:val="bottom"/>
          </w:tcPr>
          <w:p>
            <w:pPr>
              <w:spacing w:after="0"/>
              <w:rPr>
                <w:sz w:val="1"/>
                <w:szCs w:val="1"/>
                <w:color w:val="auto"/>
              </w:rPr>
            </w:pPr>
          </w:p>
        </w:tc>
      </w:tr>
      <w:tr>
        <w:trPr>
          <w:trHeight w:val="229"/>
        </w:trPr>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13,564</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12,717</w:t>
            </w:r>
          </w:p>
        </w:tc>
        <w:tc>
          <w:tcPr>
            <w:tcW w:w="0" w:type="dxa"/>
            <w:vAlign w:val="bottom"/>
          </w:tcPr>
          <w:p>
            <w:pPr>
              <w:spacing w:after="0"/>
              <w:rPr>
                <w:sz w:val="1"/>
                <w:szCs w:val="1"/>
                <w:color w:val="auto"/>
              </w:rPr>
            </w:pPr>
          </w:p>
        </w:tc>
      </w:tr>
      <w:tr>
        <w:trPr>
          <w:trHeight w:val="229"/>
        </w:trPr>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Warranty provision</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1,798</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1,693</w:t>
            </w:r>
          </w:p>
        </w:tc>
        <w:tc>
          <w:tcPr>
            <w:tcW w:w="0" w:type="dxa"/>
            <w:vAlign w:val="bottom"/>
          </w:tcPr>
          <w:p>
            <w:pPr>
              <w:spacing w:after="0"/>
              <w:rPr>
                <w:sz w:val="1"/>
                <w:szCs w:val="1"/>
                <w:color w:val="auto"/>
              </w:rPr>
            </w:pPr>
          </w:p>
        </w:tc>
      </w:tr>
      <w:tr>
        <w:trPr>
          <w:trHeight w:val="229"/>
        </w:trPr>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Warranty expenditures</w:t>
            </w: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(3,462)</w:t>
            </w:r>
          </w:p>
        </w:tc>
        <w:tc>
          <w:tcPr>
            <w:tcW w:w="10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(2,405)</w:t>
            </w:r>
          </w:p>
        </w:tc>
        <w:tc>
          <w:tcPr>
            <w:tcW w:w="0" w:type="dxa"/>
            <w:vAlign w:val="bottom"/>
          </w:tcPr>
          <w:p>
            <w:pPr>
              <w:spacing w:after="0"/>
              <w:rPr>
                <w:sz w:val="1"/>
                <w:szCs w:val="1"/>
                <w:color w:val="auto"/>
              </w:rPr>
            </w:pPr>
          </w:p>
        </w:tc>
      </w:tr>
      <w:tr>
        <w:trPr>
          <w:trHeight w:val="223"/>
        </w:trPr>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Balance at end of period</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11,900</w:t>
            </w:r>
          </w:p>
        </w:tc>
        <w:tc>
          <w:tcPr>
            <w:tcW w:w="100" w:type="dxa"/>
            <w:vAlign w:val="bottom"/>
          </w:tcPr>
          <w:p>
            <w:pPr>
              <w:spacing w:after="0"/>
              <w:rPr>
                <w:sz w:val="19"/>
                <w:szCs w:val="19"/>
                <w:color w:val="auto"/>
              </w:rPr>
            </w:pPr>
          </w:p>
        </w:tc>
        <w:tc>
          <w:tcPr>
            <w:tcW w:w="6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12,005</w:t>
            </w:r>
          </w:p>
        </w:tc>
        <w:tc>
          <w:tcPr>
            <w:tcW w:w="0" w:type="dxa"/>
            <w:vAlign w:val="bottom"/>
          </w:tcPr>
          <w:p>
            <w:pPr>
              <w:spacing w:after="0"/>
              <w:rPr>
                <w:sz w:val="1"/>
                <w:szCs w:val="1"/>
                <w:color w:val="auto"/>
              </w:rPr>
            </w:pPr>
          </w:p>
        </w:tc>
      </w:tr>
      <w:tr>
        <w:trPr>
          <w:trHeight w:val="21"/>
        </w:trPr>
        <w:tc>
          <w:tcPr>
            <w:tcW w:w="79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homebuilding work is performed by subcontractors who typically must agree to indemnify us with regard to their work and provide certificates of insurance demonstrating that they have met our insurance requirements and have named us as an additional insured under their policies. Therefore, many claims relating to workmanship and materials that result in warranty spending are the primary responsibility of these subcontractors. In addition, we maintain third-party insurance policies that provide for the reimbursement of certain warranty costs incurred in the normal course of business, subject to applicable self-insured retentions. Amounts recorded for anticipated insurance and other third-party recoveries are reflected within the consolidated statements of operations as a reduction to home construction expense, if applicable. Anticipated recoveries not yet received from our insurer or other third-parties are recorded within accounts receivable on our consolidated balance sheets, if applicable.</w:t>
      </w:r>
    </w:p>
    <w:p>
      <w:pPr>
        <w:spacing w:after="0" w:line="13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believe that our warranty and litigation accruals and third-party insurance are adequate to cover the ultimate resolution of our potential liabilities associated with known and anticipated warranty and construction-defect related claims and litigation. However, there can be no assurance that the terms and limitations of the limited warranty will be effective against claims made by homebuyers; that we will be able to renew our insurance coverage or renew it at reasonable rates; that we will not be liable for damages, the cost of repairs, and/or the expense of litigation surrounding possible construction defects, soil subsidence, or building related claims; or that claims will not arise out of events or circumstances not covered by insurance and/or not subject to effective indemnification agreements with our subcontractors.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Litigation</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the normal course of business, we and certain of our subsidiaries are subject to various lawsuits and have been named as defendants in various claims, complaints, and other legal actions, most relating to construction defects, moisture intrusion, and product liability. Certain of the liabilities resulting from these actions are covered in whole or in part by insurance. We cannot predict or determine the timing or final outcome of these lawsuits or the effect that any adverse findings or determinations in pending lawsuits may have on us. In addition, an estimate of possible loss or range of loss, if any, cannot presently be made with respect to certain of these pending matters. An unfavorable determination in pending lawsuits could result in the payment by us of substantial monetary damages that may not be fully covered by insurance. Further, the legal costs associated with the lawsuits and the amount of time required to be spent by management and our Board of Directors on these matters, even if we are ultimately successful, could have a material adverse effect on our financial condition, results of operations, or cash flows.</w:t>
      </w:r>
    </w:p>
    <w:p>
      <w:pPr>
        <w:spacing w:after="0" w:line="13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an accrual of $25.9 million and $9.9 million in other liabilities on our condensed consolidated balance sheets related to litigation matters as of December 31, 2025 and September 30, 2025, respectively. A portion of our total litigation accrual as of December 31, 2025 relates to an ongoing litigation with a homeowners’ association for which the Company anticipates entering into a confidential written settlement agreement with the counterparties in the second fiscal quarter of 2026. The Company is pursuing recovery from implicated subcontractors and other parties for defense costs and settlement amounts payable by the Company.</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Surety Bonds and Letters of Credit</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had outstanding letters of credit, surety bonds, and surety-backed letters of credit of $52.7 million, $319.6 million, and $4.6 million, respectively, as of December 31, 2025, related principally to our obligations to local governments to construct roads and other improvements in various developments.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Fair Value Measurements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the dates presented, we had assets on our condensed consolidated balance sheets that were required to be measured at fair value on a recurring or non-recurring basis. We use a fair value hierarchy that requires us to maximize the use of observable inputs and minimize the use of unobservable inputs when measuring fair value as follows:</w:t>
      </w:r>
    </w:p>
    <w:p>
      <w:pPr>
        <w:spacing w:after="0" w:line="122"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Quoted prices in active markets for identical assets or liabilities;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660" w:hanging="328"/>
        <w:spacing w:after="0" w:line="282"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Inputs other than quoted prices included in Level 1 that are observable either directly or indirectly through corroboration with market data; and</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Unobservable inputs that reflect our own estimates about the assumptions market participants would use in pricing the asset or liability.</w:t>
      </w:r>
    </w:p>
    <w:p>
      <w:pPr>
        <w:spacing w:after="0" w:line="17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Certain of our assets are required to be recorded at fair value on a non-recurring basis when events and circumstances indicate that the carrying value of these assets may not be recoverable. We review our long-lived assets, including inventory, for recoverability when factors indicate an impairment may exist, but no less than quarterly. The fair value of assets deemed to be impaired is determined based upon the type of asset being evaluated. The fair value of our inventory assets, when required to be calculated, is further discussed within Note 4. Due to the substantial use of unobservable inputs in valuing the assets on a non-recurring basis, they are classified within Level 3.</w:t>
      </w:r>
    </w:p>
    <w:p>
      <w:pPr>
        <w:spacing w:after="0" w:line="12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8"/>
          <w:szCs w:val="18"/>
          <w:color w:val="auto"/>
        </w:rPr>
        <w:t>Determining within which hierarchical level an asset or liability falls requires significant judgment. We evaluate our hierarchy disclosures each quarter. The following table presents the period-end balances of assets measured at fair value on a recurring basis for each hierarchy level:</w:t>
      </w:r>
    </w:p>
    <w:tbl>
      <w:tblPr>
        <w:tblLayout w:type="fixed"/>
        <w:tblInd w:w="0" w:type="dxa"/>
        <w:tblCellMar>
          <w:top w:w="0" w:type="dxa"/>
          <w:left w:w="0" w:type="dxa"/>
          <w:bottom w:w="0" w:type="dxa"/>
          <w:right w:w="0" w:type="dxa"/>
        </w:tblCellMar>
      </w:tblPr>
      <w:tr>
        <w:trPr>
          <w:trHeight w:val="190"/>
        </w:trPr>
        <w:tc>
          <w:tcPr>
            <w:tcW w:w="54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80" w:type="dxa"/>
            <w:vAlign w:val="bottom"/>
          </w:tcPr>
          <w:p>
            <w:pPr>
              <w:spacing w:after="0"/>
              <w:rPr>
                <w:sz w:val="16"/>
                <w:szCs w:val="16"/>
                <w:color w:val="auto"/>
              </w:rPr>
            </w:pPr>
          </w:p>
        </w:tc>
        <w:tc>
          <w:tcPr>
            <w:tcW w:w="120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80" w:type="dxa"/>
            <w:vAlign w:val="bottom"/>
          </w:tcPr>
          <w:p>
            <w:pPr>
              <w:spacing w:after="0"/>
              <w:rPr>
                <w:sz w:val="16"/>
                <w:szCs w:val="16"/>
                <w:color w:val="auto"/>
              </w:rPr>
            </w:pPr>
          </w:p>
        </w:tc>
        <w:tc>
          <w:tcPr>
            <w:tcW w:w="11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020" w:type="dxa"/>
            <w:vAlign w:val="bottom"/>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54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9"/>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 of December 31, 2025</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29"/>
        </w:trPr>
        <w:tc>
          <w:tcPr>
            <w:tcW w:w="5460" w:type="dxa"/>
            <w:vAlign w:val="bottom"/>
          </w:tcPr>
          <w:p>
            <w:pPr>
              <w:ind w:left="360"/>
              <w:spacing w:after="0" w:line="230" w:lineRule="exact"/>
              <w:rPr>
                <w:sz w:val="20"/>
                <w:szCs w:val="20"/>
                <w:color w:val="auto"/>
              </w:rPr>
            </w:pPr>
            <w:r>
              <w:rPr>
                <w:rFonts w:ascii="Times New Roman" w:cs="Times New Roman" w:eastAsia="Times New Roman" w:hAnsi="Times New Roman"/>
                <w:sz w:val="18"/>
                <w:szCs w:val="18"/>
                <w:b w:val="1"/>
                <w:bCs w:val="1"/>
                <w:color w:val="auto"/>
              </w:rPr>
              <w:t>Deferred compensation plan assets</w:t>
            </w:r>
            <w:r>
              <w:rPr>
                <w:rFonts w:ascii="Times New Roman" w:cs="Times New Roman" w:eastAsia="Times New Roman" w:hAnsi="Times New Roman"/>
                <w:sz w:val="23"/>
                <w:szCs w:val="23"/>
                <w:color w:val="auto"/>
                <w:vertAlign w:val="superscript"/>
              </w:rPr>
              <w:t>(a)</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8,994</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gridSpan w:val="2"/>
          </w:tcPr>
          <w:p>
            <w:pPr>
              <w:ind w:left="82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Pr>
          <w:p>
            <w:pPr>
              <w:jc w:val="right"/>
              <w:ind w:right="816"/>
              <w:spacing w:after="0"/>
              <w:rPr>
                <w:sz w:val="20"/>
                <w:szCs w:val="20"/>
                <w:color w:val="auto"/>
              </w:rPr>
            </w:pPr>
            <w:r>
              <w:rPr>
                <w:rFonts w:ascii="Times New Roman" w:cs="Times New Roman" w:eastAsia="Times New Roman" w:hAnsi="Times New Roman"/>
                <w:sz w:val="18"/>
                <w:szCs w:val="18"/>
                <w:b w:val="1"/>
                <w:bCs w:val="1"/>
                <w:color w:val="auto"/>
              </w:rPr>
              <w:t>$</w:t>
            </w:r>
          </w:p>
        </w:tc>
        <w:tc>
          <w:tcPr>
            <w:tcW w:w="46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8,994</w:t>
            </w:r>
          </w:p>
        </w:tc>
      </w:tr>
      <w:tr>
        <w:trPr>
          <w:trHeight w:val="230"/>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 of September 30, 2025</w:t>
            </w: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306"/>
        </w:trPr>
        <w:tc>
          <w:tcPr>
            <w:tcW w:w="5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Deferred compensation plan assets</w:t>
            </w:r>
            <w:r>
              <w:rPr>
                <w:rFonts w:ascii="Times New Roman" w:cs="Times New Roman" w:eastAsia="Times New Roman" w:hAnsi="Times New Roman"/>
                <w:sz w:val="23"/>
                <w:szCs w:val="23"/>
                <w:color w:val="auto"/>
                <w:vertAlign w:val="superscript"/>
              </w:rPr>
              <w:t>(a)</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8,661</w:t>
            </w:r>
          </w:p>
        </w:tc>
        <w:tc>
          <w:tcPr>
            <w:tcW w:w="120" w:type="dxa"/>
            <w:vAlign w:val="bottom"/>
          </w:tcPr>
          <w:p>
            <w:pPr>
              <w:spacing w:after="0"/>
              <w:rPr>
                <w:sz w:val="24"/>
                <w:szCs w:val="24"/>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816"/>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8,661</w:t>
            </w:r>
          </w:p>
        </w:tc>
      </w:tr>
    </w:tbl>
    <w:p>
      <w:pPr>
        <w:spacing w:after="0" w:line="107" w:lineRule="exact"/>
        <w:rPr>
          <w:sz w:val="20"/>
          <w:szCs w:val="20"/>
          <w:color w:val="auto"/>
        </w:rPr>
      </w:pPr>
    </w:p>
    <w:p>
      <w:pPr>
        <w:ind w:left="160" w:hanging="152"/>
        <w:spacing w:after="0"/>
        <w:tabs>
          <w:tab w:leader="none" w:pos="160" w:val="left"/>
        </w:tabs>
        <w:numPr>
          <w:ilvl w:val="0"/>
          <w:numId w:val="11"/>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Amount is included in other assets within the condensed consolidated balance sheets.</w:t>
      </w:r>
    </w:p>
    <w:p>
      <w:pPr>
        <w:spacing w:after="0" w:line="14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fair value of cash and cash equivalents, restricted cash, accounts receivable, trade accounts payable, other liabilities, and amounts due under the Unsecured Facility (if outstanding) approximate their carrying amounts due to the short maturity of these assets and liabilities. When outstanding, obligations related to land not owned under option agreements approximate fair value.</w:t>
      </w:r>
    </w:p>
    <w:p>
      <w:pPr>
        <w:spacing w:after="0" w:line="122" w:lineRule="exact"/>
        <w:rPr>
          <w:sz w:val="20"/>
          <w:szCs w:val="20"/>
          <w:color w:val="auto"/>
        </w:rPr>
      </w:pPr>
    </w:p>
    <w:p>
      <w:pPr>
        <w:jc w:val="both"/>
        <w:ind w:right="20"/>
        <w:spacing w:after="0" w:line="270" w:lineRule="auto"/>
        <w:rPr>
          <w:sz w:val="20"/>
          <w:szCs w:val="20"/>
          <w:color w:val="auto"/>
        </w:rPr>
      </w:pPr>
      <w:r>
        <w:rPr>
          <w:rFonts w:ascii="Times New Roman" w:cs="Times New Roman" w:eastAsia="Times New Roman" w:hAnsi="Times New Roman"/>
          <w:sz w:val="18"/>
          <w:szCs w:val="18"/>
          <w:color w:val="auto"/>
        </w:rPr>
        <w:t>The following table presents the carrying value and estimated fair value of certain other financial liabilities as of December 31, 2025 and September 30, 2025:</w:t>
      </w:r>
    </w:p>
    <w:tbl>
      <w:tblPr>
        <w:tblLayout w:type="fixed"/>
        <w:tblInd w:w="20" w:type="dxa"/>
        <w:tblCellMar>
          <w:top w:w="0" w:type="dxa"/>
          <w:left w:w="0" w:type="dxa"/>
          <w:bottom w:w="0" w:type="dxa"/>
          <w:right w:w="0" w:type="dxa"/>
        </w:tblCellMar>
      </w:tblPr>
      <w:tr>
        <w:trPr>
          <w:trHeight w:val="190"/>
        </w:trPr>
        <w:tc>
          <w:tcPr>
            <w:tcW w:w="5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700" w:type="dxa"/>
            <w:vAlign w:val="bottom"/>
            <w:gridSpan w:val="5"/>
          </w:tcPr>
          <w:p>
            <w:pPr>
              <w:ind w:left="400"/>
              <w:spacing w:after="0"/>
              <w:rPr>
                <w:sz w:val="20"/>
                <w:szCs w:val="20"/>
                <w:color w:val="auto"/>
              </w:rPr>
            </w:pPr>
            <w:r>
              <w:rPr>
                <w:rFonts w:ascii="Times New Roman" w:cs="Times New Roman" w:eastAsia="Times New Roman" w:hAnsi="Times New Roman"/>
                <w:sz w:val="14"/>
                <w:szCs w:val="14"/>
                <w:b w:val="1"/>
                <w:bCs w:val="1"/>
                <w:color w:val="auto"/>
              </w:rPr>
              <w:t>As of December 31, 2025</w:t>
            </w:r>
          </w:p>
        </w:tc>
        <w:tc>
          <w:tcPr>
            <w:tcW w:w="260" w:type="dxa"/>
            <w:vAlign w:val="bottom"/>
          </w:tcPr>
          <w:p>
            <w:pPr>
              <w:spacing w:after="0"/>
              <w:rPr>
                <w:sz w:val="16"/>
                <w:szCs w:val="16"/>
                <w:color w:val="auto"/>
              </w:rPr>
            </w:pPr>
          </w:p>
        </w:tc>
        <w:tc>
          <w:tcPr>
            <w:tcW w:w="2560" w:type="dxa"/>
            <w:vAlign w:val="bottom"/>
            <w:gridSpan w:val="4"/>
          </w:tcPr>
          <w:p>
            <w:pPr>
              <w:jc w:val="right"/>
              <w:ind w:right="575"/>
              <w:spacing w:after="0"/>
              <w:rPr>
                <w:sz w:val="20"/>
                <w:szCs w:val="20"/>
                <w:color w:val="auto"/>
              </w:rPr>
            </w:pPr>
            <w:r>
              <w:rPr>
                <w:rFonts w:ascii="Times New Roman" w:cs="Times New Roman" w:eastAsia="Times New Roman" w:hAnsi="Times New Roman"/>
                <w:sz w:val="14"/>
                <w:szCs w:val="14"/>
                <w:color w:val="auto"/>
              </w:rPr>
              <w:t>As of September 30, 2025</w:t>
            </w:r>
          </w:p>
        </w:tc>
        <w:tc>
          <w:tcPr>
            <w:tcW w:w="0" w:type="dxa"/>
            <w:vAlign w:val="bottom"/>
          </w:tcPr>
          <w:p>
            <w:pPr>
              <w:spacing w:after="0"/>
              <w:rPr>
                <w:sz w:val="1"/>
                <w:szCs w:val="1"/>
                <w:color w:val="auto"/>
              </w:rPr>
            </w:pPr>
          </w:p>
        </w:tc>
      </w:tr>
      <w:tr>
        <w:trPr>
          <w:trHeight w:val="23"/>
        </w:trPr>
        <w:tc>
          <w:tcPr>
            <w:tcW w:w="54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542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60" w:type="dxa"/>
            <w:vAlign w:val="bottom"/>
          </w:tcPr>
          <w:p>
            <w:pPr>
              <w:spacing w:after="0"/>
              <w:rPr>
                <w:sz w:val="11"/>
                <w:szCs w:val="11"/>
                <w:color w:val="auto"/>
              </w:rPr>
            </w:pPr>
          </w:p>
        </w:tc>
        <w:tc>
          <w:tcPr>
            <w:tcW w:w="1220" w:type="dxa"/>
            <w:vAlign w:val="bottom"/>
            <w:gridSpan w:val="2"/>
          </w:tcPr>
          <w:p>
            <w:pPr>
              <w:jc w:val="center"/>
              <w:ind w:right="360"/>
              <w:spacing w:after="0" w:line="12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240" w:type="dxa"/>
            <w:vAlign w:val="bottom"/>
          </w:tcPr>
          <w:p>
            <w:pPr>
              <w:spacing w:after="0"/>
              <w:rPr>
                <w:sz w:val="11"/>
                <w:szCs w:val="11"/>
                <w:color w:val="auto"/>
              </w:rPr>
            </w:pPr>
          </w:p>
        </w:tc>
        <w:tc>
          <w:tcPr>
            <w:tcW w:w="12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60" w:type="dxa"/>
            <w:vAlign w:val="bottom"/>
          </w:tcPr>
          <w:p>
            <w:pPr>
              <w:spacing w:after="0"/>
              <w:rPr>
                <w:sz w:val="11"/>
                <w:szCs w:val="11"/>
                <w:color w:val="auto"/>
              </w:rPr>
            </w:pPr>
          </w:p>
        </w:tc>
        <w:tc>
          <w:tcPr>
            <w:tcW w:w="1200" w:type="dxa"/>
            <w:vAlign w:val="bottom"/>
            <w:gridSpan w:val="2"/>
          </w:tcPr>
          <w:p>
            <w:pPr>
              <w:ind w:left="160"/>
              <w:spacing w:after="0" w:line="129" w:lineRule="exact"/>
              <w:rPr>
                <w:sz w:val="20"/>
                <w:szCs w:val="20"/>
                <w:color w:val="auto"/>
              </w:rPr>
            </w:pPr>
            <w:r>
              <w:rPr>
                <w:rFonts w:ascii="Times New Roman" w:cs="Times New Roman" w:eastAsia="Times New Roman" w:hAnsi="Times New Roman"/>
                <w:sz w:val="14"/>
                <w:szCs w:val="14"/>
                <w:color w:val="auto"/>
              </w:rPr>
              <w:t>Carrying</w:t>
            </w:r>
          </w:p>
        </w:tc>
        <w:tc>
          <w:tcPr>
            <w:tcW w:w="240" w:type="dxa"/>
            <w:vAlign w:val="bottom"/>
          </w:tcPr>
          <w:p>
            <w:pPr>
              <w:spacing w:after="0"/>
              <w:rPr>
                <w:sz w:val="11"/>
                <w:szCs w:val="11"/>
                <w:color w:val="auto"/>
              </w:rPr>
            </w:pPr>
          </w:p>
        </w:tc>
        <w:tc>
          <w:tcPr>
            <w:tcW w:w="1120" w:type="dxa"/>
            <w:vAlign w:val="bottom"/>
            <w:vMerge w:val="restart"/>
          </w:tcPr>
          <w:p>
            <w:pPr>
              <w:jc w:val="right"/>
              <w:ind w:right="295"/>
              <w:spacing w:after="0"/>
              <w:rPr>
                <w:sz w:val="20"/>
                <w:szCs w:val="20"/>
                <w:color w:val="auto"/>
              </w:rPr>
            </w:pPr>
            <w:r>
              <w:rPr>
                <w:rFonts w:ascii="Times New Roman" w:cs="Times New Roman" w:eastAsia="Times New Roman" w:hAnsi="Times New Roman"/>
                <w:sz w:val="14"/>
                <w:szCs w:val="14"/>
                <w:color w:val="auto"/>
              </w:rPr>
              <w:t>Fair Value</w:t>
            </w:r>
          </w:p>
        </w:tc>
        <w:tc>
          <w:tcPr>
            <w:tcW w:w="0" w:type="dxa"/>
            <w:vAlign w:val="bottom"/>
          </w:tcPr>
          <w:p>
            <w:pPr>
              <w:spacing w:after="0"/>
              <w:rPr>
                <w:sz w:val="1"/>
                <w:szCs w:val="1"/>
                <w:color w:val="auto"/>
              </w:rPr>
            </w:pPr>
          </w:p>
        </w:tc>
      </w:tr>
      <w:tr>
        <w:trPr>
          <w:trHeight w:val="196"/>
        </w:trPr>
        <w:tc>
          <w:tcPr>
            <w:tcW w:w="542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Pr>
          <w:p>
            <w:pPr>
              <w:spacing w:after="0"/>
              <w:rPr>
                <w:sz w:val="17"/>
                <w:szCs w:val="17"/>
                <w:color w:val="auto"/>
              </w:rPr>
            </w:pPr>
          </w:p>
        </w:tc>
        <w:tc>
          <w:tcPr>
            <w:tcW w:w="1240" w:type="dxa"/>
            <w:vAlign w:val="bottom"/>
            <w:gridSpan w:val="2"/>
            <w:vMerge w:val="continue"/>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Amount</w:t>
            </w:r>
          </w:p>
        </w:tc>
        <w:tc>
          <w:tcPr>
            <w:tcW w:w="240" w:type="dxa"/>
            <w:vAlign w:val="bottom"/>
          </w:tcPr>
          <w:p>
            <w:pPr>
              <w:spacing w:after="0"/>
              <w:rPr>
                <w:sz w:val="17"/>
                <w:szCs w:val="17"/>
                <w:color w:val="auto"/>
              </w:rPr>
            </w:pPr>
          </w:p>
        </w:tc>
        <w:tc>
          <w:tcPr>
            <w:tcW w:w="11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20" w:type="dxa"/>
            <w:vAlign w:val="bottom"/>
            <w:tcBorders>
              <w:top w:val="single" w:sz="8" w:color="CCEEFF"/>
            </w:tcBorders>
            <w:shd w:val="clear" w:color="auto" w:fill="CCEEFF"/>
          </w:tcPr>
          <w:p>
            <w:pPr>
              <w:ind w:left="20"/>
              <w:spacing w:after="0" w:line="215" w:lineRule="exact"/>
              <w:rPr>
                <w:sz w:val="20"/>
                <w:szCs w:val="20"/>
                <w:color w:val="auto"/>
              </w:rPr>
            </w:pPr>
            <w:r>
              <w:rPr>
                <w:rFonts w:ascii="Times New Roman" w:cs="Times New Roman" w:eastAsia="Times New Roman" w:hAnsi="Times New Roman"/>
                <w:sz w:val="18"/>
                <w:szCs w:val="18"/>
                <w:color w:val="auto"/>
              </w:rPr>
              <w:t>Financial liabilities</w:t>
            </w:r>
            <w:r>
              <w:rPr>
                <w:rFonts w:ascii="Times New Roman" w:cs="Times New Roman" w:eastAsia="Times New Roman" w:hAnsi="Times New Roman"/>
                <w:sz w:val="23"/>
                <w:szCs w:val="23"/>
                <w:color w:val="auto"/>
                <w:vertAlign w:val="superscript"/>
              </w:rPr>
              <w:t>(a)</w:t>
            </w:r>
          </w:p>
        </w:tc>
        <w:tc>
          <w:tcPr>
            <w:tcW w:w="26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20" w:type="dxa"/>
            <w:vAlign w:val="bottom"/>
          </w:tcPr>
          <w:p>
            <w:pPr>
              <w:ind w:left="120"/>
              <w:spacing w:after="0" w:line="230" w:lineRule="exact"/>
              <w:rPr>
                <w:sz w:val="20"/>
                <w:szCs w:val="20"/>
                <w:color w:val="auto"/>
              </w:rPr>
            </w:pPr>
            <w:r>
              <w:rPr>
                <w:rFonts w:ascii="Times New Roman" w:cs="Times New Roman" w:eastAsia="Times New Roman" w:hAnsi="Times New Roman"/>
                <w:sz w:val="18"/>
                <w:szCs w:val="18"/>
                <w:color w:val="auto"/>
              </w:rPr>
              <w:t>Senior Notes</w:t>
            </w:r>
            <w:r>
              <w:rPr>
                <w:rFonts w:ascii="Times New Roman" w:cs="Times New Roman" w:eastAsia="Times New Roman" w:hAnsi="Times New Roman"/>
                <w:sz w:val="23"/>
                <w:szCs w:val="23"/>
                <w:color w:val="auto"/>
                <w:vertAlign w:val="superscript"/>
              </w:rPr>
              <w:t>(b)</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951,068</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970,669</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950,644</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968,634</w:t>
            </w:r>
          </w:p>
        </w:tc>
        <w:tc>
          <w:tcPr>
            <w:tcW w:w="0" w:type="dxa"/>
            <w:vAlign w:val="bottom"/>
          </w:tcPr>
          <w:p>
            <w:pPr>
              <w:spacing w:after="0"/>
              <w:rPr>
                <w:sz w:val="1"/>
                <w:szCs w:val="1"/>
                <w:color w:val="auto"/>
              </w:rPr>
            </w:pPr>
          </w:p>
        </w:tc>
      </w:tr>
      <w:tr>
        <w:trPr>
          <w:trHeight w:val="229"/>
        </w:trPr>
        <w:tc>
          <w:tcPr>
            <w:tcW w:w="5420" w:type="dxa"/>
            <w:vAlign w:val="bottom"/>
            <w:shd w:val="clear" w:color="auto" w:fill="CCEEFF"/>
          </w:tcPr>
          <w:p>
            <w:pPr>
              <w:ind w:left="120"/>
              <w:spacing w:after="0" w:line="230" w:lineRule="exact"/>
              <w:rPr>
                <w:sz w:val="20"/>
                <w:szCs w:val="20"/>
                <w:color w:val="auto"/>
              </w:rPr>
            </w:pPr>
            <w:r>
              <w:rPr>
                <w:rFonts w:ascii="Times New Roman" w:cs="Times New Roman" w:eastAsia="Times New Roman" w:hAnsi="Times New Roman"/>
                <w:sz w:val="18"/>
                <w:szCs w:val="18"/>
                <w:color w:val="auto"/>
              </w:rPr>
              <w:t>Junior Subordinated Notes</w:t>
            </w:r>
            <w:r>
              <w:rPr>
                <w:rFonts w:ascii="Times New Roman" w:cs="Times New Roman" w:eastAsia="Times New Roman" w:hAnsi="Times New Roman"/>
                <w:sz w:val="23"/>
                <w:szCs w:val="23"/>
                <w:color w:val="auto"/>
                <w:vertAlign w:val="superscript"/>
              </w:rPr>
              <w:t>(c)</w:t>
            </w:r>
          </w:p>
        </w:tc>
        <w:tc>
          <w:tcPr>
            <w:tcW w:w="2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78,987</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78,987</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78,470</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78,470</w:t>
            </w:r>
          </w:p>
        </w:tc>
        <w:tc>
          <w:tcPr>
            <w:tcW w:w="0" w:type="dxa"/>
            <w:vAlign w:val="bottom"/>
          </w:tcPr>
          <w:p>
            <w:pPr>
              <w:spacing w:after="0"/>
              <w:rPr>
                <w:sz w:val="1"/>
                <w:szCs w:val="1"/>
                <w:color w:val="auto"/>
              </w:rPr>
            </w:pPr>
          </w:p>
        </w:tc>
      </w:tr>
      <w:tr>
        <w:trPr>
          <w:trHeight w:val="223"/>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financial liabilities</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1,030,055</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1,049,656</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1,029,114</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1,047,104</w:t>
            </w: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ind w:left="160" w:hanging="152"/>
        <w:spacing w:after="0"/>
        <w:tabs>
          <w:tab w:leader="none" w:pos="160" w:val="left"/>
        </w:tabs>
        <w:numPr>
          <w:ilvl w:val="0"/>
          <w:numId w:val="12"/>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Carrying amounts for financial liabilities are net of unamortized debt issuance costs o</w:t>
      </w:r>
      <w:r>
        <w:rPr>
          <w:rFonts w:ascii="Times New Roman" w:cs="Times New Roman" w:eastAsia="Times New Roman" w:hAnsi="Times New Roman"/>
          <w:sz w:val="16"/>
          <w:szCs w:val="16"/>
          <w:color w:val="0A2299"/>
        </w:rPr>
        <w:t>r</w:t>
      </w:r>
      <w:r>
        <w:rPr>
          <w:rFonts w:ascii="Times New Roman" w:cs="Times New Roman" w:eastAsia="Times New Roman" w:hAnsi="Times New Roman"/>
          <w:sz w:val="16"/>
          <w:szCs w:val="16"/>
          <w:color w:val="auto"/>
        </w:rPr>
        <w:t xml:space="preserve"> accretion.</w:t>
      </w:r>
    </w:p>
    <w:p>
      <w:pPr>
        <w:spacing w:after="0" w:line="86" w:lineRule="exact"/>
        <w:rPr>
          <w:rFonts w:ascii="Times New Roman" w:cs="Times New Roman" w:eastAsia="Times New Roman" w:hAnsi="Times New Roman"/>
          <w:sz w:val="20"/>
          <w:szCs w:val="20"/>
          <w:color w:val="auto"/>
          <w:vertAlign w:val="superscript"/>
        </w:rPr>
      </w:pPr>
    </w:p>
    <w:p>
      <w:pPr>
        <w:ind w:left="180" w:hanging="172"/>
        <w:spacing w:after="0" w:line="229" w:lineRule="auto"/>
        <w:tabs>
          <w:tab w:leader="none" w:pos="180" w:val="left"/>
        </w:tabs>
        <w:numPr>
          <w:ilvl w:val="0"/>
          <w:numId w:val="12"/>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The estimated fair value of our publicly-held Senior Notes has been determined using quoted market rates (Level 2).</w:t>
      </w:r>
    </w:p>
    <w:p>
      <w:pPr>
        <w:spacing w:after="0" w:line="90" w:lineRule="exact"/>
        <w:rPr>
          <w:rFonts w:ascii="Times New Roman" w:cs="Times New Roman" w:eastAsia="Times New Roman" w:hAnsi="Times New Roman"/>
          <w:sz w:val="22"/>
          <w:szCs w:val="22"/>
          <w:color w:val="auto"/>
          <w:vertAlign w:val="superscript"/>
        </w:rPr>
      </w:pPr>
    </w:p>
    <w:p>
      <w:pPr>
        <w:ind w:left="180" w:right="140" w:hanging="172"/>
        <w:spacing w:after="0" w:line="239" w:lineRule="auto"/>
        <w:tabs>
          <w:tab w:leader="none" w:pos="192" w:val="left"/>
        </w:tabs>
        <w:numPr>
          <w:ilvl w:val="0"/>
          <w:numId w:val="1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Since there is no trading market for our Junior Subordinated Notes, the fair value of these notes is estimated by discounting scheduled cash flows through maturity (Level 3). The discount rate is estimated using market rates currently being offered on loans with similar terms and credit quality. Judgment is required in interpreting market data to develop these estimates of fair value. Accordingly, the estimates presented herein are not necessarily indicative of the amounts that we could realize in a current market exchange.</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Income Taxes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Provision</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Company's income tax provision for quarterly interim periods is based on an estimated annual effective income tax rate calculated separately from the effect of significant, infrequent, or unusual items. Our income tax expense or benefit is not always directly correlated to the amount of pre-tax income or loss for the associated period due to a variety of factors, including, but not limited to, the impact of tax credits and permanent differences. We recognized income tax expense of $1.5 million for the three months ended December 31, 2025, compared to income tax expense of $36.0 thousand for the three months ended December 31, 2024. Income tax expense for the three months ended December 31, 2025 was primarily driven by energy efficiency tax credits generated from expected closings during the current fiscal year, a discrete tax benefit from tax credits related to prior year activities, and stock-based compensation activity in the period, partially offset by the operating loss, and permanent differences. Income tax expense for the three months ended December 31, 2024 was primarily driven by income tax expense on earnings from operations and permanent differences, partially offset by energy efficiency tax credits generated from expected closings during the current fiscal year, and stock-based compensation activity in the period.</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Tax Assets and Liabilities</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continues to evaluate its deferred tax assets each period to determine if a valuation allowance is required based on whether it is more likely than not that some portion of these deferred tax assets will not be realized. As of December 31, 2025, management concluded that it is more likely than not that all of our federal and certain state deferred tax assets will be realized. As part of our analysis, we considered both positive and negative factors that impact profitability and whether those factors would lead to a change in the estimate of our deferred tax assets that may be realized in the future. At this time, our conclusions on the valuation allowance and Internal Revenue Code Section 382 and Section 383 limitations related to our deferred tax assets remain consistent with the determinations we made during the period ended September 30, 2025, and such conclusions are based on similar company specific and industry factors to those discussed in Note 12 to the consolidated financial statements within our 2025 Annual Report.</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Stock-Based Compensation</w:t>
      </w:r>
    </w:p>
    <w:p>
      <w:pPr>
        <w:spacing w:after="0" w:line="17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8"/>
          <w:szCs w:val="18"/>
          <w:color w:val="auto"/>
        </w:rPr>
        <w:t>Stock-based compensation expense is included in general and administrative expenses in our condensed consolidated statements of operations. The following table presents a summary of stock-based compensation expense related to stock options and restricted stock awards for the periods presented:</w:t>
      </w:r>
    </w:p>
    <w:tbl>
      <w:tblPr>
        <w:tblLayout w:type="fixed"/>
        <w:tblInd w:w="0" w:type="dxa"/>
        <w:tblCellMar>
          <w:top w:w="0" w:type="dxa"/>
          <w:left w:w="0" w:type="dxa"/>
          <w:bottom w:w="0" w:type="dxa"/>
          <w:right w:w="0" w:type="dxa"/>
        </w:tblCellMar>
      </w:tblPr>
      <w:tr>
        <w:trPr>
          <w:trHeight w:val="190"/>
        </w:trPr>
        <w:tc>
          <w:tcPr>
            <w:tcW w:w="40" w:type="dxa"/>
            <w:vAlign w:val="bottom"/>
          </w:tcPr>
          <w:p>
            <w:pPr>
              <w:spacing w:after="0"/>
              <w:rPr>
                <w:sz w:val="16"/>
                <w:szCs w:val="16"/>
                <w:color w:val="auto"/>
              </w:rPr>
            </w:pPr>
          </w:p>
        </w:tc>
        <w:tc>
          <w:tcPr>
            <w:tcW w:w="7920" w:type="dxa"/>
            <w:vAlign w:val="bottom"/>
          </w:tcPr>
          <w:p>
            <w:pPr>
              <w:spacing w:after="0"/>
              <w:rPr>
                <w:sz w:val="16"/>
                <w:szCs w:val="16"/>
                <w:color w:val="auto"/>
              </w:rPr>
            </w:pPr>
          </w:p>
        </w:tc>
        <w:tc>
          <w:tcPr>
            <w:tcW w:w="2300" w:type="dxa"/>
            <w:vAlign w:val="bottom"/>
            <w:gridSpan w:val="4"/>
          </w:tcPr>
          <w:p>
            <w:pPr>
              <w:jc w:val="center"/>
              <w:ind w:left="884"/>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79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30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40" w:type="dxa"/>
            <w:vAlign w:val="bottom"/>
          </w:tcPr>
          <w:p>
            <w:pPr>
              <w:spacing w:after="0"/>
              <w:rPr>
                <w:sz w:val="2"/>
                <w:szCs w:val="2"/>
                <w:color w:val="auto"/>
              </w:rPr>
            </w:pPr>
          </w:p>
        </w:tc>
        <w:tc>
          <w:tcPr>
            <w:tcW w:w="792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0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0" w:type="dxa"/>
            <w:vAlign w:val="bottom"/>
          </w:tcPr>
          <w:p>
            <w:pPr>
              <w:spacing w:after="0"/>
              <w:rPr>
                <w:sz w:val="16"/>
                <w:szCs w:val="16"/>
                <w:color w:val="auto"/>
              </w:rPr>
            </w:pPr>
          </w:p>
        </w:tc>
        <w:tc>
          <w:tcPr>
            <w:tcW w:w="7920" w:type="dxa"/>
            <w:vAlign w:val="bottom"/>
            <w:tcBorders>
              <w:bottom w:val="single" w:sz="8" w:color="CCEEFF"/>
            </w:tcBorders>
            <w:vMerge w:val="continue"/>
          </w:tcPr>
          <w:p>
            <w:pPr>
              <w:spacing w:after="0"/>
              <w:rPr>
                <w:sz w:val="16"/>
                <w:szCs w:val="16"/>
                <w:color w:val="auto"/>
              </w:rPr>
            </w:pPr>
          </w:p>
        </w:tc>
        <w:tc>
          <w:tcPr>
            <w:tcW w:w="100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533"/>
              <w:spacing w:after="0"/>
              <w:rPr>
                <w:sz w:val="20"/>
                <w:szCs w:val="20"/>
                <w:color w:val="auto"/>
              </w:rPr>
            </w:pPr>
            <w:r>
              <w:rPr>
                <w:rFonts w:ascii="Times New Roman" w:cs="Times New Roman" w:eastAsia="Times New Roman" w:hAnsi="Times New Roman"/>
                <w:sz w:val="14"/>
                <w:szCs w:val="14"/>
                <w:color w:val="auto"/>
              </w:rPr>
              <w:t>2024</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000" w:type="dxa"/>
            <w:vAlign w:val="bottom"/>
            <w:shd w:val="clear" w:color="auto" w:fill="CCEEFF"/>
          </w:tcPr>
          <w:p>
            <w:pPr>
              <w:jc w:val="right"/>
              <w:ind w:right="824"/>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1,554</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437"/>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1,913</w:t>
            </w:r>
          </w:p>
        </w:tc>
        <w:tc>
          <w:tcPr>
            <w:tcW w:w="0" w:type="dxa"/>
            <w:vAlign w:val="bottom"/>
          </w:tcPr>
          <w:p>
            <w:pPr>
              <w:spacing w:after="0"/>
              <w:rPr>
                <w:sz w:val="1"/>
                <w:szCs w:val="1"/>
                <w:color w:val="auto"/>
              </w:rPr>
            </w:pPr>
          </w:p>
        </w:tc>
      </w:tr>
      <w:tr>
        <w:trPr>
          <w:trHeight w:val="473"/>
        </w:trPr>
        <w:tc>
          <w:tcPr>
            <w:tcW w:w="79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tc>
        <w:tc>
          <w:tcPr>
            <w:tcW w:w="10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7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Following is a summary of stock option activity for the three months ended December 31, 2025:</w:t>
            </w:r>
          </w:p>
        </w:tc>
        <w:tc>
          <w:tcPr>
            <w:tcW w:w="10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40" w:type="dxa"/>
            <w:vAlign w:val="bottom"/>
          </w:tcPr>
          <w:p>
            <w:pPr>
              <w:spacing w:after="0"/>
              <w:rPr>
                <w:sz w:val="17"/>
                <w:szCs w:val="17"/>
                <w:color w:val="auto"/>
              </w:rPr>
            </w:pPr>
          </w:p>
        </w:tc>
        <w:tc>
          <w:tcPr>
            <w:tcW w:w="7920" w:type="dxa"/>
            <w:vAlign w:val="bottom"/>
          </w:tcPr>
          <w:p>
            <w:pPr>
              <w:spacing w:after="0"/>
              <w:rPr>
                <w:sz w:val="17"/>
                <w:szCs w:val="17"/>
                <w:color w:val="auto"/>
              </w:rPr>
            </w:pPr>
          </w:p>
        </w:tc>
        <w:tc>
          <w:tcPr>
            <w:tcW w:w="2300" w:type="dxa"/>
            <w:vAlign w:val="bottom"/>
            <w:gridSpan w:val="4"/>
          </w:tcPr>
          <w:p>
            <w:pPr>
              <w:jc w:val="center"/>
              <w:ind w:left="884"/>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79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30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40" w:type="dxa"/>
            <w:vAlign w:val="bottom"/>
          </w:tcPr>
          <w:p>
            <w:pPr>
              <w:spacing w:after="0"/>
              <w:rPr>
                <w:sz w:val="2"/>
                <w:szCs w:val="2"/>
                <w:color w:val="auto"/>
              </w:rPr>
            </w:pPr>
          </w:p>
        </w:tc>
        <w:tc>
          <w:tcPr>
            <w:tcW w:w="792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40" w:type="dxa"/>
            <w:vAlign w:val="bottom"/>
          </w:tcPr>
          <w:p>
            <w:pPr>
              <w:spacing w:after="0"/>
              <w:rPr>
                <w:sz w:val="11"/>
                <w:szCs w:val="11"/>
                <w:color w:val="auto"/>
              </w:rPr>
            </w:pPr>
          </w:p>
        </w:tc>
        <w:tc>
          <w:tcPr>
            <w:tcW w:w="7920" w:type="dxa"/>
            <w:vAlign w:val="bottom"/>
          </w:tcPr>
          <w:p>
            <w:pPr>
              <w:spacing w:after="0"/>
              <w:rPr>
                <w:sz w:val="11"/>
                <w:szCs w:val="11"/>
                <w:color w:val="auto"/>
              </w:rPr>
            </w:pPr>
          </w:p>
        </w:tc>
        <w:tc>
          <w:tcPr>
            <w:tcW w:w="1000" w:type="dxa"/>
            <w:vAlign w:val="bottom"/>
            <w:vMerge w:val="restart"/>
          </w:tcPr>
          <w:p>
            <w:pPr>
              <w:jc w:val="center"/>
              <w:ind w:left="484"/>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80" w:type="dxa"/>
            <w:vAlign w:val="bottom"/>
            <w:gridSpan w:val="2"/>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792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vMerge w:val="continue"/>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5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beginning of period</w:t>
            </w:r>
          </w:p>
        </w:tc>
        <w:tc>
          <w:tcPr>
            <w:tcW w:w="10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1,642</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437"/>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23.14</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79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Granted</w:t>
            </w:r>
          </w:p>
        </w:tc>
        <w:tc>
          <w:tcPr>
            <w:tcW w:w="10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20,769</w:t>
            </w:r>
          </w:p>
        </w:tc>
        <w:tc>
          <w:tcPr>
            <w:tcW w:w="100" w:type="dxa"/>
            <w:vAlign w:val="bottom"/>
            <w:tcBorders>
              <w:bottom w:val="single" w:sz="8" w:color="CCEEFF"/>
            </w:tcBorders>
          </w:tcPr>
          <w:p>
            <w:pPr>
              <w:spacing w:after="0"/>
              <w:rPr>
                <w:sz w:val="19"/>
                <w:szCs w:val="19"/>
                <w:color w:val="auto"/>
              </w:rPr>
            </w:pPr>
          </w:p>
        </w:tc>
        <w:tc>
          <w:tcPr>
            <w:tcW w:w="62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22.92</w:t>
            </w:r>
          </w:p>
        </w:tc>
        <w:tc>
          <w:tcPr>
            <w:tcW w:w="0" w:type="dxa"/>
            <w:vAlign w:val="bottom"/>
          </w:tcPr>
          <w:p>
            <w:pPr>
              <w:spacing w:after="0"/>
              <w:rPr>
                <w:sz w:val="1"/>
                <w:szCs w:val="1"/>
                <w:color w:val="auto"/>
              </w:rPr>
            </w:pPr>
          </w:p>
        </w:tc>
      </w:tr>
      <w:tr>
        <w:trPr>
          <w:trHeight w:val="248"/>
        </w:trPr>
        <w:tc>
          <w:tcPr>
            <w:tcW w:w="40" w:type="dxa"/>
            <w:vAlign w:val="bottom"/>
          </w:tcPr>
          <w:p>
            <w:pPr>
              <w:spacing w:after="0"/>
              <w:rPr>
                <w:sz w:val="21"/>
                <w:szCs w:val="21"/>
                <w:color w:val="auto"/>
              </w:rPr>
            </w:pPr>
          </w:p>
        </w:tc>
        <w:tc>
          <w:tcPr>
            <w:tcW w:w="7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end of period</w:t>
            </w:r>
          </w:p>
        </w:tc>
        <w:tc>
          <w:tcPr>
            <w:tcW w:w="1000" w:type="dxa"/>
            <w:vAlign w:val="bottom"/>
            <w:tcBorders>
              <w:bottom w:val="single" w:sz="8" w:color="auto"/>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22,411</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22.93</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9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Exercisable at end of period</w:t>
            </w: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0" w:type="dxa"/>
            <w:vAlign w:val="bottom"/>
          </w:tcPr>
          <w:p>
            <w:pPr>
              <w:spacing w:after="0"/>
              <w:rPr>
                <w:sz w:val="17"/>
                <w:szCs w:val="17"/>
                <w:color w:val="auto"/>
              </w:rPr>
            </w:pPr>
          </w:p>
        </w:tc>
        <w:tc>
          <w:tcPr>
            <w:tcW w:w="7920" w:type="dxa"/>
            <w:vAlign w:val="bottom"/>
            <w:vMerge w:val="continue"/>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17"/>
                <w:szCs w:val="17"/>
                <w:color w:val="auto"/>
              </w:rPr>
            </w:pPr>
          </w:p>
        </w:tc>
        <w:tc>
          <w:tcPr>
            <w:tcW w:w="620" w:type="dxa"/>
            <w:vAlign w:val="bottom"/>
          </w:tcPr>
          <w:p>
            <w:pPr>
              <w:jc w:val="right"/>
              <w:ind w:right="437"/>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27.98</w:t>
            </w: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79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2025 and September 30, 2025, total unrecognized compensation cost related to unvested stock options was $0.2 million and $13 thousand, respectively. The remaining cost as of December 31, 2025 is expected to be recognized over a weighted average period of 2.8 years.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Awards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three months ended December 31, 2025, the Company issued time-based and performance-based restricted stock awards. The time-based restricted shares granted to our non-employee directors vest on the first anniversary of the grant, while the time-based restricted shares granted to our executive officers and other employees generally vest ratably over three years from the date of grant. Performance-based restricted share awards vest subject to the achievement of performance and market conditions over a three-year performance period.</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Following is a summary of restricted stock activity for the three months ended December 31, 2025:</w:t>
      </w:r>
    </w:p>
    <w:p>
      <w:pPr>
        <w:spacing w:after="0" w:line="43"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50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160" w:type="dxa"/>
            <w:vAlign w:val="bottom"/>
            <w:gridSpan w:val="5"/>
          </w:tcPr>
          <w:p>
            <w:pPr>
              <w:jc w:val="center"/>
              <w:ind w:left="433"/>
              <w:spacing w:after="0"/>
              <w:rPr>
                <w:sz w:val="20"/>
                <w:szCs w:val="20"/>
                <w:color w:val="auto"/>
              </w:rPr>
            </w:pPr>
            <w:r>
              <w:rPr>
                <w:rFonts w:ascii="Times New Roman" w:cs="Times New Roman" w:eastAsia="Times New Roman" w:hAnsi="Times New Roman"/>
                <w:sz w:val="14"/>
                <w:szCs w:val="14"/>
                <w:b w:val="1"/>
                <w:bCs w:val="1"/>
                <w:color w:val="auto"/>
              </w:rPr>
              <w:t>Three Months Ended December 31, 2025</w:t>
            </w:r>
          </w:p>
        </w:tc>
        <w:tc>
          <w:tcPr>
            <w:tcW w:w="1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080" w:type="dxa"/>
            <w:vAlign w:val="bottom"/>
          </w:tcPr>
          <w:p>
            <w:pPr>
              <w:spacing w:after="0"/>
              <w:rPr>
                <w:sz w:val="2"/>
                <w:szCs w:val="2"/>
                <w:color w:val="auto"/>
              </w:rPr>
            </w:pPr>
          </w:p>
        </w:tc>
        <w:tc>
          <w:tcPr>
            <w:tcW w:w="2080" w:type="dxa"/>
            <w:vAlign w:val="bottom"/>
            <w:tcBorders>
              <w:bottom w:val="single" w:sz="8" w:color="auto"/>
            </w:tcBorders>
            <w:gridSpan w:val="3"/>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5080" w:type="dxa"/>
            <w:vAlign w:val="bottom"/>
          </w:tcPr>
          <w:p>
            <w:pPr>
              <w:spacing w:after="0"/>
              <w:rPr>
                <w:sz w:val="11"/>
                <w:szCs w:val="11"/>
                <w:color w:val="auto"/>
              </w:rPr>
            </w:pPr>
          </w:p>
        </w:tc>
        <w:tc>
          <w:tcPr>
            <w:tcW w:w="2080" w:type="dxa"/>
            <w:vAlign w:val="bottom"/>
            <w:gridSpan w:val="3"/>
          </w:tcPr>
          <w:p>
            <w:pPr>
              <w:jc w:val="center"/>
              <w:ind w:right="120"/>
              <w:spacing w:after="0" w:line="131" w:lineRule="exact"/>
              <w:rPr>
                <w:sz w:val="20"/>
                <w:szCs w:val="20"/>
                <w:color w:val="auto"/>
              </w:rPr>
            </w:pPr>
            <w:r>
              <w:rPr>
                <w:rFonts w:ascii="Times New Roman" w:cs="Times New Roman" w:eastAsia="Times New Roman" w:hAnsi="Times New Roman"/>
                <w:sz w:val="14"/>
                <w:szCs w:val="14"/>
                <w:b w:val="1"/>
                <w:bCs w:val="1"/>
                <w:color w:val="auto"/>
              </w:rPr>
              <w:t>Performance-Based Restricted</w:t>
            </w:r>
          </w:p>
        </w:tc>
        <w:tc>
          <w:tcPr>
            <w:tcW w:w="2300" w:type="dxa"/>
            <w:vAlign w:val="bottom"/>
            <w:gridSpan w:val="3"/>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Time-Based Restricted Shares</w:t>
            </w:r>
          </w:p>
        </w:tc>
        <w:tc>
          <w:tcPr>
            <w:tcW w:w="1740" w:type="dxa"/>
            <w:vAlign w:val="bottom"/>
            <w:vMerge w:val="restart"/>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Total Restricted Shares</w:t>
            </w:r>
          </w:p>
        </w:tc>
        <w:tc>
          <w:tcPr>
            <w:tcW w:w="0" w:type="dxa"/>
            <w:vAlign w:val="bottom"/>
          </w:tcPr>
          <w:p>
            <w:pPr>
              <w:spacing w:after="0"/>
              <w:rPr>
                <w:sz w:val="1"/>
                <w:szCs w:val="1"/>
                <w:color w:val="auto"/>
              </w:rPr>
            </w:pPr>
          </w:p>
        </w:tc>
      </w:tr>
      <w:tr>
        <w:trPr>
          <w:trHeight w:val="195"/>
        </w:trPr>
        <w:tc>
          <w:tcPr>
            <w:tcW w:w="5080" w:type="dxa"/>
            <w:vAlign w:val="bottom"/>
          </w:tcPr>
          <w:p>
            <w:pPr>
              <w:spacing w:after="0"/>
              <w:rPr>
                <w:sz w:val="16"/>
                <w:szCs w:val="16"/>
                <w:color w:val="auto"/>
              </w:rPr>
            </w:pPr>
          </w:p>
        </w:tc>
        <w:tc>
          <w:tcPr>
            <w:tcW w:w="1220" w:type="dxa"/>
            <w:vAlign w:val="bottom"/>
          </w:tcPr>
          <w:p>
            <w:pPr>
              <w:jc w:val="center"/>
              <w:ind w:left="668"/>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00" w:type="dxa"/>
            <w:vAlign w:val="bottom"/>
            <w:gridSpan w:val="3"/>
            <w:vMerge w:val="continue"/>
          </w:tcPr>
          <w:p>
            <w:pPr>
              <w:spacing w:after="0"/>
              <w:rPr>
                <w:sz w:val="16"/>
                <w:szCs w:val="16"/>
                <w:color w:val="auto"/>
              </w:rPr>
            </w:pPr>
          </w:p>
        </w:tc>
        <w:tc>
          <w:tcPr>
            <w:tcW w:w="1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5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of period</w:t>
            </w:r>
          </w:p>
        </w:tc>
        <w:tc>
          <w:tcPr>
            <w:tcW w:w="122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307,097</w:t>
            </w:r>
          </w:p>
        </w:tc>
        <w:tc>
          <w:tcPr>
            <w:tcW w:w="120" w:type="dxa"/>
            <w:vAlign w:val="bottom"/>
            <w:tcBorders>
              <w:top w:val="single" w:sz="8" w:color="CCEEFF"/>
            </w:tcBorders>
            <w:shd w:val="clear" w:color="auto" w:fill="CCEEFF"/>
          </w:tcPr>
          <w:p>
            <w:pPr>
              <w:spacing w:after="0"/>
              <w:rPr>
                <w:sz w:val="19"/>
                <w:szCs w:val="19"/>
                <w:color w:val="auto"/>
              </w:rPr>
            </w:pPr>
          </w:p>
        </w:tc>
        <w:tc>
          <w:tcPr>
            <w:tcW w:w="1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402,025</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709,122</w:t>
            </w:r>
          </w:p>
        </w:tc>
        <w:tc>
          <w:tcPr>
            <w:tcW w:w="0" w:type="dxa"/>
            <w:vAlign w:val="bottom"/>
          </w:tcPr>
          <w:p>
            <w:pPr>
              <w:spacing w:after="0"/>
              <w:rPr>
                <w:sz w:val="1"/>
                <w:szCs w:val="1"/>
                <w:color w:val="auto"/>
              </w:rPr>
            </w:pPr>
          </w:p>
        </w:tc>
      </w:tr>
      <w:tr>
        <w:trPr>
          <w:trHeight w:val="270"/>
        </w:trPr>
        <w:tc>
          <w:tcPr>
            <w:tcW w:w="6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174,243</w:t>
            </w:r>
          </w:p>
        </w:tc>
        <w:tc>
          <w:tcPr>
            <w:tcW w:w="120" w:type="dxa"/>
            <w:vAlign w:val="bottom"/>
          </w:tcPr>
          <w:p>
            <w:pPr>
              <w:spacing w:after="0"/>
              <w:rPr>
                <w:sz w:val="23"/>
                <w:szCs w:val="23"/>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388,707</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562,950</w:t>
            </w:r>
          </w:p>
        </w:tc>
        <w:tc>
          <w:tcPr>
            <w:tcW w:w="0" w:type="dxa"/>
            <w:vAlign w:val="bottom"/>
          </w:tcPr>
          <w:p>
            <w:pPr>
              <w:spacing w:after="0"/>
              <w:rPr>
                <w:sz w:val="1"/>
                <w:szCs w:val="1"/>
                <w:color w:val="auto"/>
              </w:rPr>
            </w:pPr>
          </w:p>
        </w:tc>
      </w:tr>
      <w:tr>
        <w:trPr>
          <w:trHeight w:val="230"/>
        </w:trPr>
        <w:tc>
          <w:tcPr>
            <w:tcW w:w="6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(140,035)</w:t>
            </w:r>
          </w:p>
        </w:tc>
        <w:tc>
          <w:tcPr>
            <w:tcW w:w="12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(218,869)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(358,904)</w:t>
            </w:r>
          </w:p>
        </w:tc>
        <w:tc>
          <w:tcPr>
            <w:tcW w:w="0" w:type="dxa"/>
            <w:vAlign w:val="bottom"/>
          </w:tcPr>
          <w:p>
            <w:pPr>
              <w:spacing w:after="0"/>
              <w:rPr>
                <w:sz w:val="1"/>
                <w:szCs w:val="1"/>
                <w:color w:val="auto"/>
              </w:rPr>
            </w:pPr>
          </w:p>
        </w:tc>
      </w:tr>
      <w:tr>
        <w:trPr>
          <w:trHeight w:val="230"/>
        </w:trPr>
        <w:tc>
          <w:tcPr>
            <w:tcW w:w="630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Forfeited</w:t>
            </w:r>
            <w:r>
              <w:rPr>
                <w:rFonts w:ascii="Times New Roman" w:cs="Times New Roman" w:eastAsia="Times New Roman" w:hAnsi="Times New Roman"/>
                <w:sz w:val="23"/>
                <w:szCs w:val="23"/>
                <w:color w:val="auto"/>
                <w:vertAlign w:val="superscript"/>
              </w:rPr>
              <w:t>(a)</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(4,624)</w:t>
            </w:r>
          </w:p>
        </w:tc>
        <w:tc>
          <w:tcPr>
            <w:tcW w:w="12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(6,740)</w:t>
            </w:r>
          </w:p>
        </w:tc>
        <w:tc>
          <w:tcPr>
            <w:tcW w:w="0" w:type="dxa"/>
            <w:vAlign w:val="bottom"/>
          </w:tcPr>
          <w:p>
            <w:pPr>
              <w:spacing w:after="0"/>
              <w:rPr>
                <w:sz w:val="1"/>
                <w:szCs w:val="1"/>
                <w:color w:val="auto"/>
              </w:rPr>
            </w:pPr>
          </w:p>
        </w:tc>
      </w:tr>
      <w:tr>
        <w:trPr>
          <w:trHeight w:val="248"/>
        </w:trPr>
        <w:tc>
          <w:tcPr>
            <w:tcW w:w="50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 of period</w:t>
            </w:r>
          </w:p>
        </w:tc>
        <w:tc>
          <w:tcPr>
            <w:tcW w:w="1220" w:type="dxa"/>
            <w:vAlign w:val="bottom"/>
            <w:tcBorders>
              <w:top w:val="single" w:sz="8" w:color="auto"/>
              <w:bottom w:val="single" w:sz="8" w:color="auto"/>
            </w:tcBorders>
            <w:shd w:val="clear" w:color="auto" w:fill="CCEEFF"/>
          </w:tcPr>
          <w:p>
            <w:pPr>
              <w:spacing w:after="0"/>
              <w:rPr>
                <w:sz w:val="21"/>
                <w:szCs w:val="21"/>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336,681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569,747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spacing w:after="0"/>
              <w:rPr>
                <w:sz w:val="21"/>
                <w:szCs w:val="21"/>
                <w:color w:val="auto"/>
              </w:rPr>
            </w:pPr>
          </w:p>
        </w:tc>
        <w:tc>
          <w:tcPr>
            <w:tcW w:w="1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906,428</w:t>
            </w:r>
          </w:p>
        </w:tc>
        <w:tc>
          <w:tcPr>
            <w:tcW w:w="0" w:type="dxa"/>
            <w:vAlign w:val="bottom"/>
          </w:tcPr>
          <w:p>
            <w:pPr>
              <w:spacing w:after="0"/>
              <w:rPr>
                <w:sz w:val="1"/>
                <w:szCs w:val="1"/>
                <w:color w:val="auto"/>
              </w:rPr>
            </w:pP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left="180" w:right="140" w:hanging="172"/>
        <w:spacing w:after="0" w:line="257" w:lineRule="auto"/>
        <w:tabs>
          <w:tab w:leader="none" w:pos="177" w:val="left"/>
        </w:tabs>
        <w:numPr>
          <w:ilvl w:val="0"/>
          <w:numId w:val="13"/>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Each of our performance shares represent a contingent right to receive one share of the Company's common stock if vesting is satisfied at the end of the three-year performance period. Our performance stock award plans provide that any performance shares earned in excess of the target number of performance shares issued may be settled in cash or additional shares at the discretion of the Human Capital Committee. We have no current plans to settle any additional performance-based restricted shares in the future in cash. During November 2025, 3,599 of the 143,634 performance-based shares issued under the fiscal 2023 performance-based award plan were forfeited by the holders of the awards based on the performance level achieved under the terms of the plan.</w:t>
      </w:r>
    </w:p>
    <w:p>
      <w:pPr>
        <w:spacing w:after="0" w:line="35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As of December 31, 2025 and September 30, 2025, total unrecognized compensation costs related to unvested restricted stock awards were $17.2 million and $9.1 million, respectively. The costs remaining as of December 31, 2025 are expected to be recognized over a weighted average period of 2.3 years.</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Earnings Per Share</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Basic (loss) income per share is calculated by dividing net (loss) income by the weighted-average number of shares outstanding during the period. Diluted (loss) income per share adjusts the basic (loss) income per share for the effects of any potentially dilutive securities in periods in which the Company has net income and such effects are dilutive under the treasury stock method.</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Following is a summary of the components of basic and diluted (loss) income per share for the periods presented:</w:t>
      </w:r>
    </w:p>
    <w:p>
      <w:pPr>
        <w:spacing w:after="0" w:line="43"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79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940" w:type="dxa"/>
            <w:vAlign w:val="bottom"/>
            <w:gridSpan w:val="4"/>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0" w:type="dxa"/>
            <w:vAlign w:val="bottom"/>
          </w:tcPr>
          <w:p>
            <w:pPr>
              <w:spacing w:after="0"/>
              <w:rPr>
                <w:sz w:val="1"/>
                <w:szCs w:val="1"/>
                <w:color w:val="auto"/>
              </w:rPr>
            </w:pPr>
          </w:p>
        </w:tc>
      </w:tr>
      <w:tr>
        <w:trPr>
          <w:trHeight w:val="23"/>
        </w:trPr>
        <w:tc>
          <w:tcPr>
            <w:tcW w:w="792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 (except per share data)</w:t>
            </w: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920" w:type="dxa"/>
            <w:vAlign w:val="bottom"/>
            <w:tcBorders>
              <w:bottom w:val="single" w:sz="8" w:color="CCEEFF"/>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color w:val="auto"/>
              </w:rPr>
              <w:t>2024</w:t>
            </w:r>
          </w:p>
        </w:tc>
        <w:tc>
          <w:tcPr>
            <w:tcW w:w="0" w:type="dxa"/>
            <w:vAlign w:val="bottom"/>
          </w:tcPr>
          <w:p>
            <w:pPr>
              <w:spacing w:after="0"/>
              <w:rPr>
                <w:sz w:val="1"/>
                <w:szCs w:val="1"/>
                <w:color w:val="auto"/>
              </w:rPr>
            </w:pPr>
          </w:p>
        </w:tc>
      </w:tr>
      <w:tr>
        <w:trPr>
          <w:trHeight w:val="216"/>
        </w:trPr>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9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(loss) income</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(32,597)</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3,130</w:t>
            </w:r>
          </w:p>
        </w:tc>
        <w:tc>
          <w:tcPr>
            <w:tcW w:w="0" w:type="dxa"/>
            <w:vAlign w:val="bottom"/>
          </w:tcPr>
          <w:p>
            <w:pPr>
              <w:spacing w:after="0"/>
              <w:rPr>
                <w:sz w:val="1"/>
                <w:szCs w:val="1"/>
                <w:color w:val="auto"/>
              </w:rPr>
            </w:pPr>
          </w:p>
        </w:tc>
      </w:tr>
      <w:tr>
        <w:trPr>
          <w:trHeight w:val="270"/>
        </w:trPr>
        <w:tc>
          <w:tcPr>
            <w:tcW w:w="79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7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3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weighted-average shares</w:t>
            </w: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28,928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30,426</w:t>
            </w:r>
          </w:p>
        </w:tc>
        <w:tc>
          <w:tcPr>
            <w:tcW w:w="0" w:type="dxa"/>
            <w:vAlign w:val="bottom"/>
          </w:tcPr>
          <w:p>
            <w:pPr>
              <w:spacing w:after="0"/>
              <w:rPr>
                <w:sz w:val="1"/>
                <w:szCs w:val="1"/>
                <w:color w:val="auto"/>
              </w:rPr>
            </w:pPr>
          </w:p>
        </w:tc>
      </w:tr>
      <w:tr>
        <w:trPr>
          <w:trHeight w:val="229"/>
        </w:trPr>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Dilutive effect of restricted stock awards</w:t>
            </w:r>
          </w:p>
        </w:tc>
        <w:tc>
          <w:tcPr>
            <w:tcW w:w="32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0" w:type="dxa"/>
            <w:vAlign w:val="bottom"/>
          </w:tcPr>
          <w:p>
            <w:pPr>
              <w:spacing w:after="0"/>
              <w:rPr>
                <w:sz w:val="1"/>
                <w:szCs w:val="1"/>
                <w:color w:val="auto"/>
              </w:rPr>
            </w:pPr>
          </w:p>
        </w:tc>
      </w:tr>
      <w:tr>
        <w:trPr>
          <w:trHeight w:val="230"/>
        </w:trPr>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Dilutive effect of stock options</w:t>
            </w:r>
          </w:p>
        </w:tc>
        <w:tc>
          <w:tcPr>
            <w:tcW w:w="3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23"/>
        </w:trPr>
        <w:tc>
          <w:tcPr>
            <w:tcW w:w="7920" w:type="dxa"/>
            <w:vAlign w:val="bottom"/>
          </w:tcPr>
          <w:p>
            <w:pPr>
              <w:ind w:left="200"/>
              <w:spacing w:after="0" w:line="223" w:lineRule="exact"/>
              <w:rPr>
                <w:sz w:val="20"/>
                <w:szCs w:val="20"/>
                <w:color w:val="auto"/>
              </w:rPr>
            </w:pPr>
            <w:r>
              <w:rPr>
                <w:rFonts w:ascii="Times New Roman" w:cs="Times New Roman" w:eastAsia="Times New Roman" w:hAnsi="Times New Roman"/>
                <w:sz w:val="18"/>
                <w:szCs w:val="18"/>
                <w:color w:val="auto"/>
              </w:rPr>
              <w:t>Diluted weighted-average shares</w:t>
            </w:r>
            <w:r>
              <w:rPr>
                <w:rFonts w:ascii="Times New Roman" w:cs="Times New Roman" w:eastAsia="Times New Roman" w:hAnsi="Times New Roman"/>
                <w:sz w:val="23"/>
                <w:szCs w:val="23"/>
                <w:color w:val="auto"/>
                <w:vertAlign w:val="superscript"/>
              </w:rPr>
              <w:t>(a)</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28,928</w:t>
            </w:r>
          </w:p>
        </w:tc>
        <w:tc>
          <w:tcPr>
            <w:tcW w:w="10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30,800</w:t>
            </w:r>
          </w:p>
        </w:tc>
        <w:tc>
          <w:tcPr>
            <w:tcW w:w="0" w:type="dxa"/>
            <w:vAlign w:val="bottom"/>
          </w:tcPr>
          <w:p>
            <w:pPr>
              <w:spacing w:after="0"/>
              <w:rPr>
                <w:sz w:val="1"/>
                <w:szCs w:val="1"/>
                <w:color w:val="auto"/>
              </w:rPr>
            </w:pPr>
          </w:p>
        </w:tc>
      </w:tr>
      <w:tr>
        <w:trPr>
          <w:trHeight w:val="20"/>
        </w:trPr>
        <w:tc>
          <w:tcPr>
            <w:tcW w:w="79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9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income per share:</w:t>
            </w:r>
          </w:p>
        </w:tc>
        <w:tc>
          <w:tcPr>
            <w:tcW w:w="3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0" w:type="dxa"/>
            <w:vAlign w:val="bottom"/>
          </w:tcPr>
          <w:p>
            <w:pPr>
              <w:spacing w:after="0"/>
              <w:rPr>
                <w:sz w:val="1"/>
                <w:szCs w:val="1"/>
                <w:color w:val="auto"/>
              </w:rPr>
            </w:pPr>
          </w:p>
        </w:tc>
      </w:tr>
      <w:tr>
        <w:trPr>
          <w:trHeight w:val="238"/>
        </w:trPr>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Diluted</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(1.13)</w:t>
            </w:r>
          </w:p>
        </w:tc>
        <w:tc>
          <w:tcPr>
            <w:tcW w:w="100" w:type="dxa"/>
            <w:vAlign w:val="bottom"/>
          </w:tcPr>
          <w:p>
            <w:pPr>
              <w:spacing w:after="0"/>
              <w:rPr>
                <w:sz w:val="20"/>
                <w:szCs w:val="20"/>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180" w:right="340" w:hanging="172"/>
        <w:spacing w:after="0" w:line="235" w:lineRule="auto"/>
        <w:tabs>
          <w:tab w:leader="none" w:pos="192" w:val="left"/>
        </w:tabs>
        <w:numPr>
          <w:ilvl w:val="0"/>
          <w:numId w:val="1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following potentially dilutive shares were excluded from the calculation of diluted (loss) income per share as a result of their anti-dilutive effect. Due to the reported net loss for the three months ended December 31, 2025, all common stock equivalents were excluded from the computation of diluted loss per share for that respective quarter because inclusion would have resulted in anti-dilution.</w:t>
      </w:r>
    </w:p>
    <w:p>
      <w:pPr>
        <w:spacing w:after="0" w:line="18" w:lineRule="exact"/>
        <w:rPr>
          <w:sz w:val="20"/>
          <w:szCs w:val="20"/>
          <w:color w:val="auto"/>
        </w:rPr>
      </w:pPr>
    </w:p>
    <w:tbl>
      <w:tblPr>
        <w:tblLayout w:type="fixed"/>
        <w:tblInd w:w="360" w:type="dxa"/>
        <w:tblCellMar>
          <w:top w:w="0" w:type="dxa"/>
          <w:left w:w="0" w:type="dxa"/>
          <w:bottom w:w="0" w:type="dxa"/>
          <w:right w:w="0" w:type="dxa"/>
        </w:tblCellMar>
      </w:tblPr>
      <w:tr>
        <w:trPr>
          <w:trHeight w:val="190"/>
        </w:trPr>
        <w:tc>
          <w:tcPr>
            <w:tcW w:w="7360" w:type="dxa"/>
            <w:vAlign w:val="bottom"/>
          </w:tcPr>
          <w:p>
            <w:pPr>
              <w:spacing w:after="0"/>
              <w:rPr>
                <w:sz w:val="16"/>
                <w:szCs w:val="16"/>
                <w:color w:val="auto"/>
              </w:rPr>
            </w:pPr>
          </w:p>
        </w:tc>
        <w:tc>
          <w:tcPr>
            <w:tcW w:w="3020" w:type="dxa"/>
            <w:vAlign w:val="bottom"/>
            <w:gridSpan w:val="3"/>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0" w:type="dxa"/>
            <w:vAlign w:val="bottom"/>
          </w:tcPr>
          <w:p>
            <w:pPr>
              <w:spacing w:after="0"/>
              <w:rPr>
                <w:sz w:val="1"/>
                <w:szCs w:val="1"/>
                <w:color w:val="auto"/>
              </w:rPr>
            </w:pPr>
          </w:p>
        </w:tc>
      </w:tr>
      <w:tr>
        <w:trPr>
          <w:trHeight w:val="23"/>
        </w:trPr>
        <w:tc>
          <w:tcPr>
            <w:tcW w:w="736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360" w:type="dxa"/>
            <w:vAlign w:val="bottom"/>
            <w:tcBorders>
              <w:bottom w:val="single" w:sz="8" w:color="CCEEFF"/>
            </w:tcBorders>
            <w:vMerge w:val="continue"/>
          </w:tcPr>
          <w:p>
            <w:pPr>
              <w:spacing w:after="0"/>
              <w:rPr>
                <w:sz w:val="16"/>
                <w:szCs w:val="16"/>
                <w:color w:val="auto"/>
              </w:rPr>
            </w:pPr>
          </w:p>
        </w:tc>
        <w:tc>
          <w:tcPr>
            <w:tcW w:w="1460" w:type="dxa"/>
            <w:vAlign w:val="bottom"/>
            <w:tcBorders>
              <w:bottom w:val="single" w:sz="8" w:color="auto"/>
            </w:tcBorders>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color w:val="auto"/>
              </w:rPr>
              <w:t>2024</w:t>
            </w:r>
          </w:p>
        </w:tc>
        <w:tc>
          <w:tcPr>
            <w:tcW w:w="0" w:type="dxa"/>
            <w:vAlign w:val="bottom"/>
          </w:tcPr>
          <w:p>
            <w:pPr>
              <w:spacing w:after="0"/>
              <w:rPr>
                <w:sz w:val="1"/>
                <w:szCs w:val="1"/>
                <w:color w:val="auto"/>
              </w:rPr>
            </w:pPr>
          </w:p>
        </w:tc>
      </w:tr>
      <w:tr>
        <w:trPr>
          <w:trHeight w:val="229"/>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options</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Time-based restricted stock</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337</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Performance-based restricted stock</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570</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Other Liabilities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liabilities include the following as of December 31, 2025 and September 30, 2025:</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As of December 31, 2025</w:t>
            </w:r>
          </w:p>
        </w:tc>
        <w:tc>
          <w:tcPr>
            <w:tcW w:w="200" w:type="dxa"/>
            <w:vAlign w:val="bottom"/>
          </w:tcPr>
          <w:p>
            <w:pPr>
              <w:spacing w:after="0"/>
              <w:rPr>
                <w:sz w:val="16"/>
                <w:szCs w:val="16"/>
                <w:color w:val="auto"/>
              </w:rPr>
            </w:pPr>
          </w:p>
        </w:tc>
        <w:tc>
          <w:tcPr>
            <w:tcW w:w="1900" w:type="dxa"/>
            <w:vAlign w:val="bottom"/>
          </w:tcPr>
          <w:p>
            <w:pPr>
              <w:jc w:val="right"/>
              <w:ind w:right="212"/>
              <w:spacing w:after="0"/>
              <w:rPr>
                <w:sz w:val="20"/>
                <w:szCs w:val="20"/>
                <w:color w:val="auto"/>
              </w:rPr>
            </w:pPr>
            <w:r>
              <w:rPr>
                <w:rFonts w:ascii="Times New Roman" w:cs="Times New Roman" w:eastAsia="Times New Roman" w:hAnsi="Times New Roman"/>
                <w:sz w:val="14"/>
                <w:szCs w:val="14"/>
                <w:color w:val="auto"/>
              </w:rPr>
              <w:t>As of September 30, 2025</w:t>
            </w:r>
          </w:p>
        </w:tc>
        <w:tc>
          <w:tcPr>
            <w:tcW w:w="0" w:type="dxa"/>
            <w:vAlign w:val="bottom"/>
          </w:tcPr>
          <w:p>
            <w:pPr>
              <w:spacing w:after="0"/>
              <w:rPr>
                <w:sz w:val="1"/>
                <w:szCs w:val="1"/>
                <w:color w:val="auto"/>
              </w:rPr>
            </w:pPr>
          </w:p>
        </w:tc>
      </w:tr>
      <w:tr>
        <w:trPr>
          <w:trHeight w:val="23"/>
        </w:trPr>
        <w:tc>
          <w:tcPr>
            <w:tcW w:w="5060" w:type="dxa"/>
            <w:vAlign w:val="bottom"/>
            <w:tcBorders>
              <w:bottom w:val="single" w:sz="8" w:color="CCEEFF"/>
            </w:tcBorders>
          </w:tcPr>
          <w:p>
            <w:pPr>
              <w:spacing w:after="0"/>
              <w:rPr>
                <w:sz w:val="2"/>
                <w:szCs w:val="2"/>
                <w:color w:val="auto"/>
              </w:rPr>
            </w:pPr>
          </w:p>
        </w:tc>
        <w:tc>
          <w:tcPr>
            <w:tcW w:w="18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compensations and benefits</w:t>
            </w:r>
          </w:p>
        </w:tc>
        <w:tc>
          <w:tcPr>
            <w:tcW w:w="18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19,325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43,793</w:t>
            </w:r>
          </w:p>
        </w:tc>
        <w:tc>
          <w:tcPr>
            <w:tcW w:w="0" w:type="dxa"/>
            <w:vAlign w:val="bottom"/>
          </w:tcPr>
          <w:p>
            <w:pPr>
              <w:spacing w:after="0"/>
              <w:rPr>
                <w:sz w:val="1"/>
                <w:szCs w:val="1"/>
                <w:color w:val="auto"/>
              </w:rPr>
            </w:pPr>
          </w:p>
        </w:tc>
      </w:tr>
      <w:tr>
        <w:trPr>
          <w:trHeight w:val="229"/>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deposits</w:t>
            </w:r>
          </w:p>
        </w:tc>
        <w:tc>
          <w:tcPr>
            <w:tcW w:w="1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15,272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14,260</w:t>
            </w:r>
          </w:p>
        </w:tc>
        <w:tc>
          <w:tcPr>
            <w:tcW w:w="0" w:type="dxa"/>
            <w:vAlign w:val="bottom"/>
          </w:tcPr>
          <w:p>
            <w:pPr>
              <w:spacing w:after="0"/>
              <w:rPr>
                <w:sz w:val="1"/>
                <w:szCs w:val="1"/>
                <w:color w:val="auto"/>
              </w:rPr>
            </w:pPr>
          </w:p>
        </w:tc>
      </w:tr>
      <w:tr>
        <w:trPr>
          <w:trHeight w:val="230"/>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interest</w:t>
            </w:r>
          </w:p>
        </w:tc>
        <w:tc>
          <w:tcPr>
            <w:tcW w:w="18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16,251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23,211</w:t>
            </w:r>
          </w:p>
        </w:tc>
        <w:tc>
          <w:tcPr>
            <w:tcW w:w="0" w:type="dxa"/>
            <w:vAlign w:val="bottom"/>
          </w:tcPr>
          <w:p>
            <w:pPr>
              <w:spacing w:after="0"/>
              <w:rPr>
                <w:sz w:val="1"/>
                <w:szCs w:val="1"/>
                <w:color w:val="auto"/>
              </w:rPr>
            </w:pPr>
          </w:p>
        </w:tc>
      </w:tr>
      <w:tr>
        <w:trPr>
          <w:trHeight w:val="230"/>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Warranty reserves</w:t>
            </w:r>
          </w:p>
        </w:tc>
        <w:tc>
          <w:tcPr>
            <w:tcW w:w="1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11,900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13,564</w:t>
            </w:r>
          </w:p>
        </w:tc>
        <w:tc>
          <w:tcPr>
            <w:tcW w:w="0" w:type="dxa"/>
            <w:vAlign w:val="bottom"/>
          </w:tcPr>
          <w:p>
            <w:pPr>
              <w:spacing w:after="0"/>
              <w:rPr>
                <w:sz w:val="1"/>
                <w:szCs w:val="1"/>
                <w:color w:val="auto"/>
              </w:rPr>
            </w:pPr>
          </w:p>
        </w:tc>
      </w:tr>
      <w:tr>
        <w:trPr>
          <w:trHeight w:val="230"/>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Litigation accruals</w:t>
            </w:r>
          </w:p>
        </w:tc>
        <w:tc>
          <w:tcPr>
            <w:tcW w:w="18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25,881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9,930</w:t>
            </w:r>
          </w:p>
        </w:tc>
        <w:tc>
          <w:tcPr>
            <w:tcW w:w="0" w:type="dxa"/>
            <w:vAlign w:val="bottom"/>
          </w:tcPr>
          <w:p>
            <w:pPr>
              <w:spacing w:after="0"/>
              <w:rPr>
                <w:sz w:val="1"/>
                <w:szCs w:val="1"/>
                <w:color w:val="auto"/>
              </w:rPr>
            </w:pPr>
          </w:p>
        </w:tc>
      </w:tr>
      <w:tr>
        <w:trPr>
          <w:trHeight w:val="229"/>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liabilities</w:t>
            </w:r>
          </w:p>
        </w:tc>
        <w:tc>
          <w:tcPr>
            <w:tcW w:w="1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870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30"/>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Obligations related to land not owned under option agreements</w:t>
            </w:r>
          </w:p>
        </w:tc>
        <w:tc>
          <w:tcPr>
            <w:tcW w:w="18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28,069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8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49,600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55,655</w:t>
            </w:r>
          </w:p>
        </w:tc>
        <w:tc>
          <w:tcPr>
            <w:tcW w:w="0" w:type="dxa"/>
            <w:vAlign w:val="bottom"/>
          </w:tcPr>
          <w:p>
            <w:pPr>
              <w:spacing w:after="0"/>
              <w:rPr>
                <w:sz w:val="1"/>
                <w:szCs w:val="1"/>
                <w:color w:val="auto"/>
              </w:rPr>
            </w:pPr>
          </w:p>
        </w:tc>
      </w:tr>
      <w:tr>
        <w:trPr>
          <w:trHeight w:val="248"/>
        </w:trPr>
        <w:tc>
          <w:tcPr>
            <w:tcW w:w="50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18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167,168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160,445</w:t>
            </w:r>
          </w:p>
        </w:tc>
        <w:tc>
          <w:tcPr>
            <w:tcW w:w="0" w:type="dxa"/>
            <w:vAlign w:val="bottom"/>
          </w:tcPr>
          <w:p>
            <w:pPr>
              <w:spacing w:after="0"/>
              <w:rPr>
                <w:sz w:val="1"/>
                <w:szCs w:val="1"/>
                <w:color w:val="auto"/>
              </w:rPr>
            </w:pPr>
          </w:p>
        </w:tc>
      </w:tr>
      <w:tr>
        <w:trPr>
          <w:trHeight w:val="20"/>
        </w:trPr>
        <w:tc>
          <w:tcPr>
            <w:tcW w:w="506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CCEEFF"/>
              <w:bottom w:val="single" w:sz="8" w:color="CCEEFF"/>
            </w:tcBorders>
            <w:vMerge w:val="restart"/>
          </w:tcPr>
          <w:p>
            <w:pPr>
              <w:jc w:val="right"/>
              <w:ind w:right="1168"/>
              <w:spacing w:after="0"/>
              <w:rPr>
                <w:sz w:val="20"/>
                <w:szCs w:val="20"/>
                <w:color w:val="auto"/>
              </w:rPr>
            </w:pPr>
            <w:r>
              <w:rPr>
                <w:rFonts w:ascii="Times New Roman" w:cs="Times New Roman" w:eastAsia="Times New Roman" w:hAnsi="Times New Roman"/>
                <w:sz w:val="14"/>
                <w:szCs w:val="14"/>
                <w:color w:val="auto"/>
              </w:rPr>
              <w:t>20</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8"/>
        </w:trPr>
        <w:tc>
          <w:tcPr>
            <w:tcW w:w="5060" w:type="dxa"/>
            <w:vAlign w:val="bottom"/>
          </w:tcPr>
          <w:p>
            <w:pPr>
              <w:spacing w:after="0"/>
              <w:rPr>
                <w:sz w:val="24"/>
                <w:szCs w:val="24"/>
                <w:color w:val="auto"/>
              </w:rPr>
            </w:pPr>
          </w:p>
        </w:tc>
        <w:tc>
          <w:tcPr>
            <w:tcW w:w="188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5"/>
        </w:trPr>
        <w:tc>
          <w:tcPr>
            <w:tcW w:w="5060" w:type="dxa"/>
            <w:vAlign w:val="bottom"/>
            <w:tcBorders>
              <w:bottom w:val="single" w:sz="8" w:color="9A9A9A"/>
            </w:tcBorders>
          </w:tcPr>
          <w:p>
            <w:pPr>
              <w:spacing w:after="0"/>
              <w:rPr>
                <w:sz w:val="10"/>
                <w:szCs w:val="10"/>
                <w:color w:val="auto"/>
              </w:rPr>
            </w:pPr>
          </w:p>
        </w:tc>
        <w:tc>
          <w:tcPr>
            <w:tcW w:w="18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9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9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Segment Information</w:t>
      </w:r>
    </w:p>
    <w:p>
      <w:pPr>
        <w:spacing w:after="0" w:line="17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Per ASC Topic 280, </w:t>
      </w:r>
      <w:r>
        <w:rPr>
          <w:rFonts w:ascii="Times New Roman" w:cs="Times New Roman" w:eastAsia="Times New Roman" w:hAnsi="Times New Roman"/>
          <w:sz w:val="18"/>
          <w:szCs w:val="18"/>
          <w:i w:val="1"/>
          <w:iCs w:val="1"/>
          <w:color w:val="auto"/>
        </w:rPr>
        <w:t>Segment Reporting</w:t>
      </w:r>
      <w:r>
        <w:rPr>
          <w:rFonts w:ascii="Times New Roman" w:cs="Times New Roman" w:eastAsia="Times New Roman" w:hAnsi="Times New Roman"/>
          <w:sz w:val="18"/>
          <w:szCs w:val="18"/>
          <w:color w:val="auto"/>
        </w:rPr>
        <w:t xml:space="preserve"> (ASC 280), an operating segment is defined as a component of an enterprise that engages in business activities from which it earns revenues and incur expenses and has discrete financial information available that is reviewed regularly by the Company's chief operating decision maker (CODM) to evaluate performance, make operating decisions, and determine how to allocate resources. We have identified each homebuilding component as an operating segment because each homebuilding component is engaged in development, design, construction, marketing, and sale of homes as well as land and lot sales, and provides title examinations for our homebuyers in certain markets. In accordance with the aggregation criteria defined in ASC 280, we aggregate our homebuilding operating segments into reportable segments based on similar long-term economic characteristics and geographical proximity.</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currently operate in 13 states that are grouped into three reportable segments as follows: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West</w:t>
      </w:r>
      <w:r>
        <w:rPr>
          <w:rFonts w:ascii="Times New Roman" w:cs="Times New Roman" w:eastAsia="Times New Roman" w:hAnsi="Times New Roman"/>
          <w:sz w:val="18"/>
          <w:szCs w:val="18"/>
          <w:color w:val="auto"/>
        </w:rPr>
        <w:t>: Arizona, California, Nevada, and Texas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East</w:t>
      </w:r>
      <w:r>
        <w:rPr>
          <w:rFonts w:ascii="Times New Roman" w:cs="Times New Roman" w:eastAsia="Times New Roman" w:hAnsi="Times New Roman"/>
          <w:sz w:val="18"/>
          <w:szCs w:val="18"/>
          <w:color w:val="auto"/>
        </w:rPr>
        <w:t>: Delaware, Indiana, Maryland, Tennessee, and Virginia</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Southeast</w:t>
      </w:r>
      <w:r>
        <w:rPr>
          <w:rFonts w:ascii="Times New Roman" w:cs="Times New Roman" w:eastAsia="Times New Roman" w:hAnsi="Times New Roman"/>
          <w:sz w:val="18"/>
          <w:szCs w:val="18"/>
          <w:color w:val="auto"/>
        </w:rPr>
        <w:t>: Florida, Georgia, North Carolina, and South Carolina</w:t>
      </w:r>
    </w:p>
    <w:p>
      <w:pPr>
        <w:spacing w:after="0" w:line="1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Corporate and unallocated component includes amortization of capitalized interest, capitalization and amortization of indirect costs, impairment of capitalized interest and capitalized indirect costs, expenses for various shared services functions that benefit all segments but are not allocated, including information technology, treasury, corporate finance, legal, branding and national marketing, and certain other amounts that are not allocated to our operating segments.</w:t>
      </w:r>
    </w:p>
    <w:p>
      <w:pPr>
        <w:spacing w:after="0" w:line="12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CODM is the Chief Executive Officer. The CODM is regularly provided with the operating results of individual operating segments which comprise our reportable segments. Segment performance is evaluated, and resources are allocated primarily based on segment operating income (loss), which also plays a central role in the Company's forecasting process. In addition, the CODM considers forecast-to-actual variances when determining the allocation of operating and capital resources across segments. The accounting policies of our segments are those described in Note 2 to the consolidated financial statements within our 2025 Annual Report.</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provide financial information about our reportable segments and Corporate and unallocated component for the periods presented:</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580" w:type="dxa"/>
            <w:vAlign w:val="bottom"/>
            <w:gridSpan w:val="7"/>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 December 31, 2025</w:t>
            </w: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7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37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60" w:type="dxa"/>
            <w:vAlign w:val="bottom"/>
          </w:tcPr>
          <w:p>
            <w:pPr>
              <w:spacing w:after="0"/>
              <w:rPr>
                <w:sz w:val="11"/>
                <w:szCs w:val="11"/>
                <w:color w:val="auto"/>
              </w:rPr>
            </w:pPr>
          </w:p>
        </w:tc>
        <w:tc>
          <w:tcPr>
            <w:tcW w:w="102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West</w:t>
            </w:r>
          </w:p>
        </w:tc>
        <w:tc>
          <w:tcPr>
            <w:tcW w:w="280" w:type="dxa"/>
            <w:vAlign w:val="bottom"/>
          </w:tcPr>
          <w:p>
            <w:pPr>
              <w:spacing w:after="0"/>
              <w:rPr>
                <w:sz w:val="11"/>
                <w:szCs w:val="11"/>
                <w:color w:val="auto"/>
              </w:rPr>
            </w:pPr>
          </w:p>
        </w:tc>
        <w:tc>
          <w:tcPr>
            <w:tcW w:w="880" w:type="dxa"/>
            <w:vAlign w:val="bottom"/>
            <w:vMerge w:val="restart"/>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East</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Southeast</w:t>
            </w:r>
          </w:p>
        </w:tc>
        <w:tc>
          <w:tcPr>
            <w:tcW w:w="180" w:type="dxa"/>
            <w:vAlign w:val="bottom"/>
          </w:tcPr>
          <w:p>
            <w:pPr>
              <w:spacing w:after="0"/>
              <w:rPr>
                <w:sz w:val="11"/>
                <w:szCs w:val="11"/>
                <w:color w:val="auto"/>
              </w:rPr>
            </w:pPr>
          </w:p>
        </w:tc>
        <w:tc>
          <w:tcPr>
            <w:tcW w:w="1060" w:type="dxa"/>
            <w:vAlign w:val="bottom"/>
            <w:gridSpan w:val="2"/>
          </w:tcPr>
          <w:p>
            <w:pPr>
              <w:ind w:left="60"/>
              <w:spacing w:after="0" w:line="131" w:lineRule="exact"/>
              <w:rPr>
                <w:sz w:val="20"/>
                <w:szCs w:val="20"/>
                <w:color w:val="auto"/>
              </w:rPr>
            </w:pPr>
            <w:r>
              <w:rPr>
                <w:rFonts w:ascii="Times New Roman" w:cs="Times New Roman" w:eastAsia="Times New Roman" w:hAnsi="Times New Roman"/>
                <w:sz w:val="14"/>
                <w:szCs w:val="14"/>
                <w:b w:val="1"/>
                <w:bCs w:val="1"/>
                <w:color w:val="auto"/>
              </w:rPr>
              <w:t>Reportable</w:t>
            </w:r>
          </w:p>
        </w:tc>
        <w:tc>
          <w:tcPr>
            <w:tcW w:w="120" w:type="dxa"/>
            <w:vAlign w:val="bottom"/>
          </w:tcPr>
          <w:p>
            <w:pPr>
              <w:spacing w:after="0"/>
              <w:rPr>
                <w:sz w:val="11"/>
                <w:szCs w:val="11"/>
                <w:color w:val="auto"/>
              </w:rPr>
            </w:pPr>
          </w:p>
        </w:tc>
        <w:tc>
          <w:tcPr>
            <w:tcW w:w="1140" w:type="dxa"/>
            <w:vAlign w:val="bottom"/>
            <w:gridSpan w:val="2"/>
          </w:tcPr>
          <w:p>
            <w:pPr>
              <w:jc w:val="center"/>
              <w:ind w:right="220"/>
              <w:spacing w:after="0" w:line="131" w:lineRule="exact"/>
              <w:rPr>
                <w:sz w:val="20"/>
                <w:szCs w:val="20"/>
                <w:color w:val="auto"/>
              </w:rPr>
            </w:pPr>
            <w:r>
              <w:rPr>
                <w:rFonts w:ascii="Times New Roman" w:cs="Times New Roman" w:eastAsia="Times New Roman" w:hAnsi="Times New Roman"/>
                <w:sz w:val="14"/>
                <w:szCs w:val="14"/>
                <w:b w:val="1"/>
                <w:bCs w:val="1"/>
                <w:color w:val="auto"/>
              </w:rPr>
              <w:t>Corporate and</w:t>
            </w:r>
          </w:p>
        </w:tc>
        <w:tc>
          <w:tcPr>
            <w:tcW w:w="260" w:type="dxa"/>
            <w:vAlign w:val="bottom"/>
          </w:tcPr>
          <w:p>
            <w:pPr>
              <w:spacing w:after="0"/>
              <w:rPr>
                <w:sz w:val="11"/>
                <w:szCs w:val="11"/>
                <w:color w:val="auto"/>
              </w:rPr>
            </w:pPr>
          </w:p>
        </w:tc>
        <w:tc>
          <w:tcPr>
            <w:tcW w:w="920" w:type="dxa"/>
            <w:vAlign w:val="bottom"/>
            <w:vMerge w:val="restart"/>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378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2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Segment Subtotal</w:t>
            </w:r>
          </w:p>
        </w:tc>
        <w:tc>
          <w:tcPr>
            <w:tcW w:w="120" w:type="dxa"/>
            <w:vAlign w:val="bottom"/>
          </w:tcPr>
          <w:p>
            <w:pPr>
              <w:spacing w:after="0"/>
              <w:rPr>
                <w:sz w:val="16"/>
                <w:szCs w:val="16"/>
                <w:color w:val="auto"/>
              </w:rPr>
            </w:pP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unallocated</w:t>
            </w:r>
          </w:p>
        </w:tc>
        <w:tc>
          <w:tcPr>
            <w:tcW w:w="26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3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223,504</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93,459</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46,528</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363,491</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363,491</w:t>
            </w:r>
          </w:p>
        </w:tc>
        <w:tc>
          <w:tcPr>
            <w:tcW w:w="0" w:type="dxa"/>
            <w:vAlign w:val="bottom"/>
          </w:tcPr>
          <w:p>
            <w:pPr>
              <w:spacing w:after="0"/>
              <w:rPr>
                <w:sz w:val="1"/>
                <w:szCs w:val="1"/>
                <w:color w:val="auto"/>
              </w:rPr>
            </w:pPr>
          </w:p>
        </w:tc>
      </w:tr>
      <w:tr>
        <w:trPr>
          <w:trHeight w:val="229"/>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Home construction and land sale expenses</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192,178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79,519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39,705</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311,402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12,515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323,917</w:t>
            </w:r>
          </w:p>
        </w:tc>
        <w:tc>
          <w:tcPr>
            <w:tcW w:w="0" w:type="dxa"/>
            <w:vAlign w:val="bottom"/>
          </w:tcPr>
          <w:p>
            <w:pPr>
              <w:spacing w:after="0"/>
              <w:rPr>
                <w:sz w:val="1"/>
                <w:szCs w:val="1"/>
                <w:color w:val="auto"/>
              </w:rPr>
            </w:pPr>
          </w:p>
        </w:tc>
      </w:tr>
      <w:tr>
        <w:trPr>
          <w:trHeight w:val="230"/>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Inventory impairments and abandonments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2,370</w:t>
            </w:r>
          </w:p>
        </w:tc>
        <w:tc>
          <w:tcPr>
            <w:tcW w:w="0" w:type="dxa"/>
            <w:vAlign w:val="bottom"/>
          </w:tcPr>
          <w:p>
            <w:pPr>
              <w:spacing w:after="0"/>
              <w:rPr>
                <w:sz w:val="1"/>
                <w:szCs w:val="1"/>
                <w:color w:val="auto"/>
              </w:rPr>
            </w:pPr>
          </w:p>
        </w:tc>
      </w:tr>
      <w:tr>
        <w:trPr>
          <w:trHeight w:val="230"/>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Commissions</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7,723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1,696</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12,016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12,016</w:t>
            </w:r>
          </w:p>
        </w:tc>
        <w:tc>
          <w:tcPr>
            <w:tcW w:w="0" w:type="dxa"/>
            <w:vAlign w:val="bottom"/>
          </w:tcPr>
          <w:p>
            <w:pPr>
              <w:spacing w:after="0"/>
              <w:rPr>
                <w:sz w:val="1"/>
                <w:szCs w:val="1"/>
                <w:color w:val="auto"/>
              </w:rPr>
            </w:pPr>
          </w:p>
        </w:tc>
      </w:tr>
      <w:tr>
        <w:trPr>
          <w:trHeight w:val="230"/>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8,714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2,152</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19,277</w:t>
            </w:r>
          </w:p>
        </w:tc>
        <w:tc>
          <w:tcPr>
            <w:tcW w:w="0" w:type="dxa"/>
            <w:vAlign w:val="bottom"/>
          </w:tcPr>
          <w:p>
            <w:pPr>
              <w:spacing w:after="0"/>
              <w:rPr>
                <w:sz w:val="1"/>
                <w:szCs w:val="1"/>
                <w:color w:val="auto"/>
              </w:rPr>
            </w:pPr>
          </w:p>
        </w:tc>
      </w:tr>
      <w:tr>
        <w:trPr>
          <w:trHeight w:val="229"/>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general and administrative expenses</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7,561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2,567</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13,427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20,285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33,712</w:t>
            </w:r>
          </w:p>
        </w:tc>
        <w:tc>
          <w:tcPr>
            <w:tcW w:w="0" w:type="dxa"/>
            <w:vAlign w:val="bottom"/>
          </w:tcPr>
          <w:p>
            <w:pPr>
              <w:spacing w:after="0"/>
              <w:rPr>
                <w:sz w:val="1"/>
                <w:szCs w:val="1"/>
                <w:color w:val="auto"/>
              </w:rPr>
            </w:pPr>
          </w:p>
        </w:tc>
      </w:tr>
      <w:tr>
        <w:trPr>
          <w:trHeight w:val="230"/>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1,798</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2,669</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1,373</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4,042</w:t>
            </w:r>
          </w:p>
        </w:tc>
        <w:tc>
          <w:tcPr>
            <w:tcW w:w="0" w:type="dxa"/>
            <w:vAlign w:val="bottom"/>
          </w:tcPr>
          <w:p>
            <w:pPr>
              <w:spacing w:after="0"/>
              <w:rPr>
                <w:sz w:val="1"/>
                <w:szCs w:val="1"/>
                <w:color w:val="auto"/>
              </w:rPr>
            </w:pPr>
          </w:p>
        </w:tc>
      </w:tr>
      <w:tr>
        <w:trPr>
          <w:trHeight w:val="223"/>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4,181</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3,533</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tcPr>
          <w:p>
            <w:pPr>
              <w:spacing w:after="0"/>
              <w:rPr>
                <w:sz w:val="19"/>
                <w:szCs w:val="19"/>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7,726</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(39,569)</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(31,843)</w:t>
            </w:r>
          </w:p>
        </w:tc>
        <w:tc>
          <w:tcPr>
            <w:tcW w:w="0" w:type="dxa"/>
            <w:vAlign w:val="bottom"/>
          </w:tcPr>
          <w:p>
            <w:pPr>
              <w:spacing w:after="0"/>
              <w:rPr>
                <w:sz w:val="1"/>
                <w:szCs w:val="1"/>
                <w:color w:val="auto"/>
              </w:rPr>
            </w:pPr>
          </w:p>
        </w:tc>
      </w:tr>
      <w:tr>
        <w:trPr>
          <w:trHeight w:val="230"/>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w:t>
            </w:r>
          </w:p>
        </w:tc>
        <w:tc>
          <w:tcPr>
            <w:tcW w:w="0" w:type="dxa"/>
            <w:vAlign w:val="bottom"/>
          </w:tcPr>
          <w:p>
            <w:pPr>
              <w:spacing w:after="0"/>
              <w:rPr>
                <w:sz w:val="1"/>
                <w:szCs w:val="1"/>
                <w:color w:val="auto"/>
              </w:rPr>
            </w:pPr>
          </w:p>
        </w:tc>
      </w:tr>
      <w:tr>
        <w:trPr>
          <w:trHeight w:val="223"/>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(31,065)</w:t>
            </w:r>
          </w:p>
        </w:tc>
        <w:tc>
          <w:tcPr>
            <w:tcW w:w="0" w:type="dxa"/>
            <w:vAlign w:val="bottom"/>
          </w:tcPr>
          <w:p>
            <w:pPr>
              <w:spacing w:after="0"/>
              <w:rPr>
                <w:sz w:val="1"/>
                <w:szCs w:val="1"/>
                <w:color w:val="auto"/>
              </w:rPr>
            </w:pPr>
          </w:p>
        </w:tc>
      </w:tr>
      <w:tr>
        <w:trPr>
          <w:trHeight w:val="230"/>
        </w:trPr>
        <w:tc>
          <w:tcPr>
            <w:tcW w:w="37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Total assets</w:t>
            </w:r>
            <w:r>
              <w:rPr>
                <w:rFonts w:ascii="Times New Roman" w:cs="Times New Roman" w:eastAsia="Times New Roman" w:hAnsi="Times New Roman"/>
                <w:sz w:val="23"/>
                <w:szCs w:val="23"/>
                <w:color w:val="auto"/>
                <w:vertAlign w:val="superscript"/>
              </w:rPr>
              <w:t>(a)</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1,096,705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451,228</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501,643</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2,049,576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590,137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2,639,713</w:t>
            </w:r>
          </w:p>
        </w:tc>
        <w:tc>
          <w:tcPr>
            <w:tcW w:w="0" w:type="dxa"/>
            <w:vAlign w:val="bottom"/>
          </w:tcPr>
          <w:p>
            <w:pPr>
              <w:spacing w:after="0"/>
              <w:rPr>
                <w:sz w:val="1"/>
                <w:szCs w:val="1"/>
                <w:color w:val="auto"/>
              </w:rPr>
            </w:pPr>
          </w:p>
        </w:tc>
      </w:tr>
      <w:tr>
        <w:trPr>
          <w:trHeight w:val="854"/>
        </w:trPr>
        <w:tc>
          <w:tcPr>
            <w:tcW w:w="3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jc w:val="right"/>
              <w:ind w:right="433"/>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5"/>
        </w:trPr>
        <w:tc>
          <w:tcPr>
            <w:tcW w:w="37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560" w:type="dxa"/>
            <w:vAlign w:val="bottom"/>
            <w:gridSpan w:val="7"/>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December 31, 2024</w:t>
            </w: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8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382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20" w:type="dxa"/>
            <w:vAlign w:val="bottom"/>
          </w:tcPr>
          <w:p>
            <w:pPr>
              <w:spacing w:after="0"/>
              <w:rPr>
                <w:sz w:val="11"/>
                <w:szCs w:val="11"/>
                <w:color w:val="auto"/>
              </w:rPr>
            </w:pPr>
          </w:p>
        </w:tc>
        <w:tc>
          <w:tcPr>
            <w:tcW w:w="102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West</w:t>
            </w:r>
          </w:p>
        </w:tc>
        <w:tc>
          <w:tcPr>
            <w:tcW w:w="260" w:type="dxa"/>
            <w:vAlign w:val="bottom"/>
          </w:tcPr>
          <w:p>
            <w:pPr>
              <w:spacing w:after="0"/>
              <w:rPr>
                <w:sz w:val="11"/>
                <w:szCs w:val="11"/>
                <w:color w:val="auto"/>
              </w:rPr>
            </w:pPr>
          </w:p>
        </w:tc>
        <w:tc>
          <w:tcPr>
            <w:tcW w:w="880" w:type="dxa"/>
            <w:vAlign w:val="bottom"/>
            <w:vMerge w:val="restart"/>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East</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Southeast</w:t>
            </w:r>
          </w:p>
        </w:tc>
        <w:tc>
          <w:tcPr>
            <w:tcW w:w="160" w:type="dxa"/>
            <w:vAlign w:val="bottom"/>
          </w:tcPr>
          <w:p>
            <w:pPr>
              <w:spacing w:after="0"/>
              <w:rPr>
                <w:sz w:val="11"/>
                <w:szCs w:val="11"/>
                <w:color w:val="auto"/>
              </w:rPr>
            </w:pPr>
          </w:p>
        </w:tc>
        <w:tc>
          <w:tcPr>
            <w:tcW w:w="1080" w:type="dxa"/>
            <w:vAlign w:val="bottom"/>
            <w:gridSpan w:val="2"/>
          </w:tcPr>
          <w:p>
            <w:pPr>
              <w:ind w:left="60"/>
              <w:spacing w:after="0" w:line="131" w:lineRule="exact"/>
              <w:rPr>
                <w:sz w:val="20"/>
                <w:szCs w:val="20"/>
                <w:color w:val="auto"/>
              </w:rPr>
            </w:pPr>
            <w:r>
              <w:rPr>
                <w:rFonts w:ascii="Times New Roman" w:cs="Times New Roman" w:eastAsia="Times New Roman" w:hAnsi="Times New Roman"/>
                <w:sz w:val="14"/>
                <w:szCs w:val="14"/>
                <w:b w:val="1"/>
                <w:bCs w:val="1"/>
                <w:color w:val="auto"/>
              </w:rPr>
              <w:t>Reportable</w:t>
            </w:r>
          </w:p>
        </w:tc>
        <w:tc>
          <w:tcPr>
            <w:tcW w:w="120" w:type="dxa"/>
            <w:vAlign w:val="bottom"/>
          </w:tcPr>
          <w:p>
            <w:pPr>
              <w:spacing w:after="0"/>
              <w:rPr>
                <w:sz w:val="11"/>
                <w:szCs w:val="11"/>
                <w:color w:val="auto"/>
              </w:rPr>
            </w:pPr>
          </w:p>
        </w:tc>
        <w:tc>
          <w:tcPr>
            <w:tcW w:w="1120" w:type="dxa"/>
            <w:vAlign w:val="bottom"/>
            <w:gridSpan w:val="2"/>
          </w:tcPr>
          <w:p>
            <w:pPr>
              <w:jc w:val="center"/>
              <w:ind w:right="220"/>
              <w:spacing w:after="0" w:line="131" w:lineRule="exact"/>
              <w:rPr>
                <w:sz w:val="20"/>
                <w:szCs w:val="20"/>
                <w:color w:val="auto"/>
              </w:rPr>
            </w:pPr>
            <w:r>
              <w:rPr>
                <w:rFonts w:ascii="Times New Roman" w:cs="Times New Roman" w:eastAsia="Times New Roman" w:hAnsi="Times New Roman"/>
                <w:sz w:val="14"/>
                <w:szCs w:val="14"/>
                <w:b w:val="1"/>
                <w:bCs w:val="1"/>
                <w:color w:val="auto"/>
              </w:rPr>
              <w:t>Corporate and</w:t>
            </w:r>
          </w:p>
        </w:tc>
        <w:tc>
          <w:tcPr>
            <w:tcW w:w="220" w:type="dxa"/>
            <w:vAlign w:val="bottom"/>
          </w:tcPr>
          <w:p>
            <w:pPr>
              <w:spacing w:after="0"/>
              <w:rPr>
                <w:sz w:val="11"/>
                <w:szCs w:val="11"/>
                <w:color w:val="auto"/>
              </w:rPr>
            </w:pPr>
          </w:p>
        </w:tc>
        <w:tc>
          <w:tcPr>
            <w:tcW w:w="920" w:type="dxa"/>
            <w:vAlign w:val="bottom"/>
            <w:vMerge w:val="restart"/>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382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2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Segment Subtotal</w:t>
            </w:r>
          </w:p>
        </w:tc>
        <w:tc>
          <w:tcPr>
            <w:tcW w:w="120" w:type="dxa"/>
            <w:vAlign w:val="bottom"/>
          </w:tcPr>
          <w:p>
            <w:pPr>
              <w:spacing w:after="0"/>
              <w:rPr>
                <w:sz w:val="16"/>
                <w:szCs w:val="16"/>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unallocated</w:t>
            </w:r>
          </w:p>
        </w:tc>
        <w:tc>
          <w:tcPr>
            <w:tcW w:w="22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3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298,916</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109,882</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60,155</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468,953</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468,953</w:t>
            </w:r>
          </w:p>
        </w:tc>
        <w:tc>
          <w:tcPr>
            <w:tcW w:w="0" w:type="dxa"/>
            <w:vAlign w:val="bottom"/>
          </w:tcPr>
          <w:p>
            <w:pPr>
              <w:spacing w:after="0"/>
              <w:rPr>
                <w:sz w:val="1"/>
                <w:szCs w:val="1"/>
                <w:color w:val="auto"/>
              </w:rPr>
            </w:pPr>
          </w:p>
        </w:tc>
      </w:tr>
      <w:tr>
        <w:trPr>
          <w:trHeight w:val="229"/>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Home construction and land sale expenses</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243,909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93,215</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50,392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387,516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9,359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396,875</w:t>
            </w:r>
          </w:p>
        </w:tc>
        <w:tc>
          <w:tcPr>
            <w:tcW w:w="0" w:type="dxa"/>
            <w:vAlign w:val="bottom"/>
          </w:tcPr>
          <w:p>
            <w:pPr>
              <w:spacing w:after="0"/>
              <w:rPr>
                <w:sz w:val="1"/>
                <w:szCs w:val="1"/>
                <w:color w:val="auto"/>
              </w:rPr>
            </w:pPr>
          </w:p>
        </w:tc>
      </w:tr>
      <w:tr>
        <w:trPr>
          <w:trHeight w:val="229"/>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Commissions</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10,562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3,420</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16,113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16,113</w:t>
            </w:r>
          </w:p>
        </w:tc>
        <w:tc>
          <w:tcPr>
            <w:tcW w:w="0" w:type="dxa"/>
            <w:vAlign w:val="bottom"/>
          </w:tcPr>
          <w:p>
            <w:pPr>
              <w:spacing w:after="0"/>
              <w:rPr>
                <w:sz w:val="1"/>
                <w:szCs w:val="1"/>
                <w:color w:val="auto"/>
              </w:rPr>
            </w:pPr>
          </w:p>
        </w:tc>
      </w:tr>
      <w:tr>
        <w:trPr>
          <w:trHeight w:val="230"/>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7,246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2,683</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11,928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14,913</w:t>
            </w:r>
          </w:p>
        </w:tc>
        <w:tc>
          <w:tcPr>
            <w:tcW w:w="0" w:type="dxa"/>
            <w:vAlign w:val="bottom"/>
          </w:tcPr>
          <w:p>
            <w:pPr>
              <w:spacing w:after="0"/>
              <w:rPr>
                <w:sz w:val="1"/>
                <w:szCs w:val="1"/>
                <w:color w:val="auto"/>
              </w:rPr>
            </w:pPr>
          </w:p>
        </w:tc>
      </w:tr>
      <w:tr>
        <w:trPr>
          <w:trHeight w:val="229"/>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general and administrative expenses</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3,436</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13,744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21,115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34,859</w:t>
            </w:r>
          </w:p>
        </w:tc>
        <w:tc>
          <w:tcPr>
            <w:tcW w:w="0" w:type="dxa"/>
            <w:vAlign w:val="bottom"/>
          </w:tcPr>
          <w:p>
            <w:pPr>
              <w:spacing w:after="0"/>
              <w:rPr>
                <w:sz w:val="1"/>
                <w:szCs w:val="1"/>
                <w:color w:val="auto"/>
              </w:rPr>
            </w:pPr>
          </w:p>
        </w:tc>
      </w:tr>
      <w:tr>
        <w:trPr>
          <w:trHeight w:val="230"/>
        </w:trPr>
        <w:tc>
          <w:tcPr>
            <w:tcW w:w="3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2,945</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4,055</w:t>
            </w:r>
          </w:p>
        </w:tc>
        <w:tc>
          <w:tcPr>
            <w:tcW w:w="0" w:type="dxa"/>
            <w:vAlign w:val="bottom"/>
          </w:tcPr>
          <w:p>
            <w:pPr>
              <w:spacing w:after="0"/>
              <w:rPr>
                <w:sz w:val="1"/>
                <w:szCs w:val="1"/>
                <w:color w:val="auto"/>
              </w:rPr>
            </w:pPr>
          </w:p>
        </w:tc>
      </w:tr>
      <w:tr>
        <w:trPr>
          <w:trHeight w:val="223"/>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27,414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6,672</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36,707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(34,569)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2,138</w:t>
            </w:r>
          </w:p>
        </w:tc>
        <w:tc>
          <w:tcPr>
            <w:tcW w:w="0" w:type="dxa"/>
            <w:vAlign w:val="bottom"/>
          </w:tcPr>
          <w:p>
            <w:pPr>
              <w:spacing w:after="0"/>
              <w:rPr>
                <w:sz w:val="1"/>
                <w:szCs w:val="1"/>
                <w:color w:val="auto"/>
              </w:rPr>
            </w:pPr>
          </w:p>
        </w:tc>
      </w:tr>
      <w:tr>
        <w:trPr>
          <w:trHeight w:val="229"/>
        </w:trPr>
        <w:tc>
          <w:tcPr>
            <w:tcW w:w="3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22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88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1,028</w:t>
            </w:r>
          </w:p>
        </w:tc>
        <w:tc>
          <w:tcPr>
            <w:tcW w:w="0" w:type="dxa"/>
            <w:vAlign w:val="bottom"/>
          </w:tcPr>
          <w:p>
            <w:pPr>
              <w:spacing w:after="0"/>
              <w:rPr>
                <w:sz w:val="1"/>
                <w:szCs w:val="1"/>
                <w:color w:val="auto"/>
              </w:rPr>
            </w:pPr>
          </w:p>
        </w:tc>
      </w:tr>
      <w:tr>
        <w:trPr>
          <w:trHeight w:val="223"/>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3,166</w:t>
            </w:r>
          </w:p>
        </w:tc>
        <w:tc>
          <w:tcPr>
            <w:tcW w:w="0" w:type="dxa"/>
            <w:vAlign w:val="bottom"/>
          </w:tcPr>
          <w:p>
            <w:pPr>
              <w:spacing w:after="0"/>
              <w:rPr>
                <w:sz w:val="1"/>
                <w:szCs w:val="1"/>
                <w:color w:val="auto"/>
              </w:rPr>
            </w:pPr>
          </w:p>
        </w:tc>
      </w:tr>
      <w:tr>
        <w:trPr>
          <w:trHeight w:val="306"/>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w:t>
            </w:r>
            <w:r>
              <w:rPr>
                <w:rFonts w:ascii="Times New Roman" w:cs="Times New Roman" w:eastAsia="Times New Roman" w:hAnsi="Times New Roman"/>
                <w:sz w:val="23"/>
                <w:szCs w:val="23"/>
                <w:color w:val="auto"/>
                <w:vertAlign w:val="superscript"/>
              </w:rPr>
              <w:t>(a)</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1,178,094</w:t>
            </w:r>
          </w:p>
        </w:tc>
        <w:tc>
          <w:tcPr>
            <w:tcW w:w="100" w:type="dxa"/>
            <w:vAlign w:val="bottom"/>
          </w:tcPr>
          <w:p>
            <w:pPr>
              <w:spacing w:after="0"/>
              <w:rPr>
                <w:sz w:val="24"/>
                <w:szCs w:val="24"/>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485,806</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422,187</w:t>
            </w:r>
          </w:p>
        </w:tc>
        <w:tc>
          <w:tcPr>
            <w:tcW w:w="100" w:type="dxa"/>
            <w:vAlign w:val="bottom"/>
          </w:tcPr>
          <w:p>
            <w:pPr>
              <w:spacing w:after="0"/>
              <w:rPr>
                <w:sz w:val="24"/>
                <w:szCs w:val="24"/>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2,086,087</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514,441</w:t>
            </w:r>
          </w:p>
        </w:tc>
        <w:tc>
          <w:tcPr>
            <w:tcW w:w="100" w:type="dxa"/>
            <w:vAlign w:val="bottom"/>
          </w:tcPr>
          <w:p>
            <w:pPr>
              <w:spacing w:after="0"/>
              <w:rPr>
                <w:sz w:val="24"/>
                <w:szCs w:val="24"/>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2,600,528</w:t>
            </w: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180" w:hanging="172"/>
        <w:spacing w:after="0" w:line="229" w:lineRule="auto"/>
        <w:tabs>
          <w:tab w:leader="none" w:pos="190" w:val="left"/>
        </w:tabs>
        <w:numPr>
          <w:ilvl w:val="0"/>
          <w:numId w:val="1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Total assets at Corporate and unallocated include cash and cash equivalents, restricted cash, deferred taxes, capitalized interest and indirect costs, and other items that are not allocated to the segments.</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Quarterly Report on Form 10-Q (Form 10-Q), as well as some statements by us in periodic press releases and other public disclosures and some oral statements by us to analysts, stockholders and others during presentations, are “forward-looking statements” within the meaning of the Private Securities Litigation Reform Act of 1995. These forward-looking statements represent our expectations or beliefs concerning future events or results, and it is possible that such events or results described in this Form 10-Q will not occur or be achieved. These forward-looking statements can generally be identified by the use of statements that include words such as "outlook," "may," "will," "strategy," "believe," "expect," "anticipate," "inspires," "intend," "plan," "foresee," "likely," "goal," "target," "estimate," "should," "project," "initial" or other similar words or phrases.</w:t>
      </w:r>
    </w:p>
    <w:p>
      <w:pPr>
        <w:spacing w:after="0" w:line="13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These forward-looking statements involve risks, uncertainties and other factors, many of which are outside of our control, that could cause actual events or results to differ materially from the results discussed in the forward-looking statements, including, among other things, the matters discussed in this Form 10-Q in the section captioned “Management’s Discussion and Analysis of Financial Condition and Results of Operations.” Additional information about factors that could lead to material changes is contained in Part I, Item 1A— Risk Factors of our Annual Report on Form 10-K for the fiscal year ended September 30, 2025. These factors are not intended to be an all-inclusive list of risks and uncertainties that may affect the operations, performance, development and results of our business, but instead are the risks that we currently perceive as potentially being material. Such factors may include:</w:t>
      </w:r>
    </w:p>
    <w:p>
      <w:pPr>
        <w:spacing w:after="0" w:line="133" w:lineRule="exact"/>
        <w:rPr>
          <w:sz w:val="20"/>
          <w:szCs w:val="20"/>
          <w:color w:val="auto"/>
        </w:rPr>
      </w:pPr>
    </w:p>
    <w:p>
      <w:pPr>
        <w:jc w:val="both"/>
        <w:ind w:left="660" w:hanging="328"/>
        <w:spacing w:after="0" w:line="266"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macroeconomic uncertainty, including high levels of inflation, elevated interest rates and insurance costs, stock market volatility, enhanced and/or altered government regulation resulting from legislation and/or executive orders, and historic changes in U.S. trade policy, negatively impacting consumer sentiment and softening demand for the homes we sell;</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elevated mortgage interest rates for prolonged periods, as well as further increases to, and reduced availability of, mortgage financing;</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supply chain challenges (including as a result of U.S. trade policies and retaliatory responses from other countries) negatively impacting our homebuilding production, including shortages of raw materials and other critical components such as windows, doors, and appliances;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meet or achieve our sustainability related goals, aspirations, initiatives, and our public statements and disclosures regarding them;</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inaccurate estimates related to homes to be delivered in the future (backlog), as they are subject to various cancellation risks that cannot be fully controlled;</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factors affecting margins, such as adjustments to home pricing, increased sales incentives and mortgage rate buy down programs in order to remain competitive;</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revenues;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land values underlying land option agreements;</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land development costs in communities under development or delays or difficulties in implementing initiatives to reduce our cycle times and production and overhead cost structures;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being able to pass on cost increases (including cost increases due to increasing the energy efficiency of our homes) through pricing increases;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and cost of land and the risks associated with the future value of our inventory, including impairments and abandonment charges;</w:t>
      </w:r>
    </w:p>
    <w:p>
      <w:pPr>
        <w:spacing w:after="0" w:line="171"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raise debt and/or equity capital, due to factors such as limitations in the capital markets (including market volatility), adverse credit market conditions and financial institution disruptions, and our ability to otherwise meet our ongoing liquidity needs (which could cause us to fail to meet the terms of our covenants and other requirements under our various debt instruments and therefore trigger an acceleration of a significant portion or all of our outstanding debt obligations), including the impact of any downgrades of our credit ratings or reduction in our liquidity levels;</w:t>
      </w:r>
    </w:p>
    <w:p>
      <w:pPr>
        <w:spacing w:after="0" w:line="1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perceptions regarding any capital raising initiatives we may undertake (including future issuances of equity or debt capital);</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inefficient or ineffective allocation of capital, including with respect to planned share repurchases;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conditions and other factors outside our control that adversely impact our ability to execute on our planned share repurchases;</w:t>
      </w:r>
    </w:p>
    <w:p>
      <w:pPr>
        <w:spacing w:after="0" w:line="17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tax laws, such as the One Big Beautiful Bill Act (OBBBA), or otherwise regarding the deductibility of mortgage interest expenses and real estate taxes, including those resulting from regulatory guidance and interpretations issued with respect thereto, such as the IRS's guidance regarding heightened qualification requirements for federal credits for building energy-efficient homes;</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competition or delays in reacting to changing consumer preferences in home design;</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disasters, severe weather, or other related events that could result in delays in land development or home construction, increase our costs or decrease demand in the impacted areas;</w:t>
      </w:r>
    </w:p>
    <w:p>
      <w:pPr>
        <w:spacing w:after="0" w:line="10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shortages of or increased costs for labor used in housing production, including as a result of federal or state legislation, and/or enforcement, and the level of quality and craftsmanship provided by such labor;</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terrorist acts, protests and civil unrest, political uncertainty, acts of war or other factors over which the Company has no control, such as the conflict between Russia and Ukraine, the instability and tension in Gaza, and other instabilities and tensions in the Middle East;</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recoverability of our deferred tax assets;</w:t>
      </w:r>
    </w:p>
    <w:p>
      <w:pPr>
        <w:spacing w:after="0" w:line="17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delays or increased costs in obtaining necessary permits as a result of changes to, or complying with, laws, regulations or governmental policies, and possible penalties for failure to comply with such laws, regulations or governmental policies, including those related to the environment;</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litigation or government proceedings and fulfillment of any related obligations;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construction defect and home warranty claims;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and availability of insurance and surety bonds, as well as the sufficiency of these instruments to cover potential losses incurred;</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information technology failures, cybersecurity issues or data security breaches, including cybersecurity incidents deploying evolving artificial intelligence tools and incidents impacting third-party service providers that we depend on to conduct our business;</w:t>
      </w:r>
    </w:p>
    <w:p>
      <w:pPr>
        <w:spacing w:after="0" w:line="10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governmental regulations on homebuilding in key markets, such as regulations limiting the availability of water and electricity (including availability of electrical equipment such as transformers and meters); and</w:t>
      </w:r>
    </w:p>
    <w:p>
      <w:pPr>
        <w:spacing w:after="0" w:line="10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sustainability initiatives, as well as the success of any other related partnerships or pilot programs we may enter into in order to increase the energy efficiency of our homes.</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Any forward-looking statement, including any statement expressing confidence regarding future outcomes, speaks only as of the date on which such statement is made and, except as required by law, we undertake no obligation to update any forward-looking statement to reflect events or circumstances after the date on which such statement is made or to reflect the occurrence of unanticipated events. New factors emerge from time to time, and it is not possible to predict all such factors.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Overview and Outlook</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Market Conditions and Strategy</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first quarter of fiscal 2026, the sales environment reflected continued weak consumer sentiment and economic uncertainty. Aggressive discounts and incentives remained necessary across the industry to generate volume and turn inventory despite mortgage rates decreasing to the low 6% range. In 2025, the industry began slowing new home starts to better align with demand, which we believe could create more favorable supply dynamics as fiscal 2026 progresses. Despite a soft current homebuilding environment, we remain positive on long-term housing market fundamentals, as production shortfalls over the past decade have left the market structurally undersupplied.</w:t>
      </w:r>
    </w:p>
    <w:p>
      <w:pPr>
        <w:spacing w:after="0" w:line="1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response to challenging conditions, we have maintained a disciplined approach to operations and capital allocation. We continue to focus on our differentiated product strategy, lowering construction costs, selling non-strategic assets, and moderating our land spend. Further, when making growth investments, we are utilizing capital-efficient option agreements when possible. With our common stock trading below book value, we prioritized share repurchases, buying back 697 thousand shares of our common stock, approximately 2.3% of our fiscal first quarter's outstanding shares, for an aggregate $15.1 million during the first quarter. We expect to accelerate buyback activity in the coming quarters, using a portion of land sale proceeds to fund the repurchases.</w:t>
      </w:r>
    </w:p>
    <w:p>
      <w:pPr>
        <w:spacing w:after="0" w:line="13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believe the Company is uniquely positioned to address affordability concerns of today’s buyers and deliver a superior product and buying experience. Our differentiated strategy focuses on (1) Advanced Home Performance – energy savings, cleaner air, and a quieter home, (2) Curated Choices – competitive mortgage, floorplan, and style options, (3) Elevated Experiences – easy shopping, a trusted team, and continuing care, and (4) Community Impact – Beazer Charity Foundation and employee commitments. Together, these lower the cost of homeownership and deliver meaningful financial and lifestyle benefits that make buying a Beazer home more attainable and rewarding.</w:t>
      </w:r>
    </w:p>
    <w:p>
      <w:pPr>
        <w:spacing w:after="0" w:line="1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remain on track to achieve our Multi-Year Goals, which include reaching more than 200 active communities by the end of fiscal 2027, reducing our net debt to net capitalization ratio to the low-30% range by the end of fiscal 2027, and achieving a double-digit compound annual growth rate in book value per share from the end of fiscal 2024 through fiscal 2027. We are confident in our differentiated product strategy, the value of our assets, and our ability to generate improving returns for our shareholders.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Overview of Results for Our Fiscal First Quarter</w:t>
      </w:r>
    </w:p>
    <w:p>
      <w:pPr>
        <w:spacing w:after="0" w:line="17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is a summary of our performance against certain key operating and financial metrics during the quarter ended December 31, 2025 and a comparison to the quarter ended December 31, 2024:</w:t>
      </w:r>
    </w:p>
    <w:p>
      <w:pPr>
        <w:spacing w:after="0" w:line="104" w:lineRule="exact"/>
        <w:rPr>
          <w:sz w:val="20"/>
          <w:szCs w:val="20"/>
          <w:color w:val="auto"/>
        </w:rPr>
      </w:pPr>
    </w:p>
    <w:p>
      <w:pPr>
        <w:jc w:val="both"/>
        <w:ind w:left="660" w:hanging="328"/>
        <w:spacing w:after="0" w:line="257" w:lineRule="auto"/>
        <w:tabs>
          <w:tab w:leader="none" w:pos="655" w:val="left"/>
        </w:tabs>
        <w:numPr>
          <w:ilvl w:val="0"/>
          <w:numId w:val="18"/>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color w:val="auto"/>
        </w:rPr>
        <w:t xml:space="preserve">During the quarter ended December 31, 2025, our average active community count of 167 was up 3.7% from 161 in the prior year quarter. </w:t>
      </w:r>
      <w:r>
        <w:rPr>
          <w:rFonts w:ascii="Times New Roman" w:cs="Times New Roman" w:eastAsia="Times New Roman" w:hAnsi="Times New Roman"/>
          <w:sz w:val="18"/>
          <w:szCs w:val="18"/>
          <w:color w:val="auto"/>
        </w:rPr>
        <w:t>We ended the quarter with 168 active communities, up 3.1% from 163 a year ago. We invested $180.7 million in land acquisition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land development during the quarter ended December 31, 2025, down from $211.3 million in land spend during the quarter ended December 31, 2024. In response to the evolving market conditions, we reallocated a portion of our land investment toward reaching our Multi-Year Goals of deleveraging and growing book value per share. This shift underscores our confidence in our strong land position and the visibility we have into our community count growth.</w:t>
      </w:r>
    </w:p>
    <w:p>
      <w:pPr>
        <w:spacing w:after="0" w:line="128" w:lineRule="exact"/>
        <w:rPr>
          <w:rFonts w:ascii="Times New Roman" w:cs="Times New Roman" w:eastAsia="Times New Roman" w:hAnsi="Times New Roman"/>
          <w:sz w:val="18"/>
          <w:szCs w:val="18"/>
          <w:b w:val="1"/>
          <w:bCs w:val="1"/>
          <w:i w:val="1"/>
          <w:iCs w:val="1"/>
          <w:color w:val="auto"/>
        </w:rPr>
      </w:pPr>
    </w:p>
    <w:p>
      <w:pPr>
        <w:jc w:val="both"/>
        <w:ind w:left="660" w:hanging="328"/>
        <w:spacing w:after="0" w:line="262" w:lineRule="auto"/>
        <w:tabs>
          <w:tab w:leader="none" w:pos="655" w:val="left"/>
        </w:tabs>
        <w:numPr>
          <w:ilvl w:val="0"/>
          <w:numId w:val="1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b w:val="1"/>
          <w:bCs w:val="1"/>
          <w:color w:val="auto"/>
        </w:rPr>
        <w:t xml:space="preserve">As of December 31, 2025, our land position included 24,832 controlled lots, down 14.0% from 28,874 as of December 31, 2024. </w:t>
      </w:r>
      <w:r>
        <w:rPr>
          <w:rFonts w:ascii="Times New Roman" w:cs="Times New Roman" w:eastAsia="Times New Roman" w:hAnsi="Times New Roman"/>
          <w:sz w:val="18"/>
          <w:szCs w:val="18"/>
          <w:color w:val="auto"/>
        </w:rPr>
        <w:t>We remain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focused on the expanded usage of lot option agreements, which allow us to position for future growth while providing the flexibility to respond to market conditions. As of December 31, 2025, we had 14,340 lots, or 61.0% of our total active lots, under option agreements as compared to 16,609 lots, or 58.9% of our total active lots, under option agreements as of December 31, 2024.</w:t>
      </w:r>
    </w:p>
    <w:p>
      <w:pPr>
        <w:spacing w:after="0" w:line="122" w:lineRule="exact"/>
        <w:rPr>
          <w:rFonts w:ascii="Times New Roman" w:cs="Times New Roman" w:eastAsia="Times New Roman" w:hAnsi="Times New Roman"/>
          <w:sz w:val="18"/>
          <w:szCs w:val="18"/>
          <w:i w:val="1"/>
          <w:iCs w:val="1"/>
          <w:color w:val="auto"/>
        </w:rPr>
      </w:pPr>
    </w:p>
    <w:p>
      <w:pPr>
        <w:jc w:val="both"/>
        <w:ind w:left="660" w:hanging="328"/>
        <w:spacing w:after="0" w:line="262" w:lineRule="auto"/>
        <w:tabs>
          <w:tab w:leader="none" w:pos="655" w:val="left"/>
        </w:tabs>
        <w:numPr>
          <w:ilvl w:val="0"/>
          <w:numId w:val="1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b w:val="1"/>
          <w:bCs w:val="1"/>
          <w:color w:val="auto"/>
        </w:rPr>
        <w:t>During the quarter ended December 31, 2025, orders per community per month were 1.5 compared to 1.9 in the prior year quarter, and our net new orders were 763, down 18.1% from 932 in the prior year quarter</w:t>
      </w:r>
      <w:r>
        <w:rPr>
          <w:rFonts w:ascii="Times New Roman" w:cs="Times New Roman" w:eastAsia="Times New Roman" w:hAnsi="Times New Roman"/>
          <w:sz w:val="18"/>
          <w:szCs w:val="18"/>
          <w:color w:val="auto"/>
        </w:rPr>
        <w:t>. The decrease in sales pace compared to the prior year reflected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weaker consumer sentiment driven by affordability challenges and uncertainties in the macroeconomic environment. We continue to adjust prices, features and incentives to align with the current competitive market conditions.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both"/>
        <w:ind w:left="660" w:hanging="328"/>
        <w:spacing w:after="0" w:line="262" w:lineRule="auto"/>
        <w:tabs>
          <w:tab w:leader="none" w:pos="655" w:val="left"/>
        </w:tabs>
        <w:numPr>
          <w:ilvl w:val="0"/>
          <w:numId w:val="1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b w:val="1"/>
          <w:bCs w:val="1"/>
          <w:color w:val="auto"/>
        </w:rPr>
        <w:t xml:space="preserve">Our Average Selling Price (ASP) for homes closed during the quarter ended December 31, 2025 was $513.9 thousand, up 1.2% from $507.6 thousand in the prior year quarter. </w:t>
      </w:r>
      <w:r>
        <w:rPr>
          <w:rFonts w:ascii="Times New Roman" w:cs="Times New Roman" w:eastAsia="Times New Roman" w:hAnsi="Times New Roman"/>
          <w:sz w:val="18"/>
          <w:szCs w:val="18"/>
          <w:color w:val="auto"/>
        </w:rPr>
        <w:t>Our backlog ASP for homes sold during the quarter ended December 31, 2025 was $568.7 thousand,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up 5.0% from $541.5 thousand in the prior year quarter. The increase in closing ASP and backlog ASP compared to prior year quarter was primarily due to changes in product and community mix.</w:t>
      </w:r>
    </w:p>
    <w:p>
      <w:pPr>
        <w:spacing w:after="0" w:line="122" w:lineRule="exact"/>
        <w:rPr>
          <w:rFonts w:ascii="Times New Roman" w:cs="Times New Roman" w:eastAsia="Times New Roman" w:hAnsi="Times New Roman"/>
          <w:sz w:val="18"/>
          <w:szCs w:val="18"/>
          <w:i w:val="1"/>
          <w:iCs w:val="1"/>
          <w:color w:val="auto"/>
        </w:rPr>
      </w:pPr>
    </w:p>
    <w:p>
      <w:pPr>
        <w:jc w:val="both"/>
        <w:ind w:left="660" w:hanging="328"/>
        <w:spacing w:after="0" w:line="259" w:lineRule="auto"/>
        <w:tabs>
          <w:tab w:leader="none" w:pos="655"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Homebuilding gross margin for the quarter ended December 31, 2025 was 10.4%, down from 15.2% compared to the prior year quarter. </w:t>
      </w:r>
      <w:r>
        <w:rPr>
          <w:rFonts w:ascii="Times New Roman" w:cs="Times New Roman" w:eastAsia="Times New Roman" w:hAnsi="Times New Roman"/>
          <w:sz w:val="18"/>
          <w:szCs w:val="18"/>
          <w:color w:val="auto"/>
        </w:rPr>
        <w:t>Homebuilding gross margin, excluding impairments, abandonments and interest amortization, for the quarter ended December 31, 2025 was 14.0%, down from 18.2% in the prior year quarter. The decrease in homebuilding gross margin compared to the prior year quarter was primarily due to an increase in price concessions and closing cost incentives, changes in product and community mix, and a litigation-related charge recognized during the quarter ended December 31, 2025. The litigation-related charge reduced homebuilding gross margin by 1.8%.</w:t>
      </w:r>
    </w:p>
    <w:p>
      <w:pPr>
        <w:spacing w:after="0" w:line="125" w:lineRule="exact"/>
        <w:rPr>
          <w:rFonts w:ascii="Times New Roman" w:cs="Times New Roman" w:eastAsia="Times New Roman" w:hAnsi="Times New Roman"/>
          <w:sz w:val="18"/>
          <w:szCs w:val="18"/>
          <w:b w:val="1"/>
          <w:bCs w:val="1"/>
          <w:color w:val="auto"/>
        </w:rPr>
      </w:pPr>
    </w:p>
    <w:p>
      <w:pPr>
        <w:jc w:val="both"/>
        <w:ind w:left="660" w:hanging="328"/>
        <w:spacing w:after="0" w:line="268"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SG&amp;A for the quarter ended December 31, 2025 was 17.9% of total revenue, up from 14.0% in the prior year quarter. </w:t>
      </w:r>
      <w:r>
        <w:rPr>
          <w:rFonts w:ascii="Times New Roman" w:cs="Times New Roman" w:eastAsia="Times New Roman" w:hAnsi="Times New Roman"/>
          <w:sz w:val="18"/>
          <w:szCs w:val="18"/>
          <w:color w:val="auto"/>
        </w:rPr>
        <w:t>The increase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SG&amp;A as a percentage of total revenue compared to the prior year quarter was primarily due to lower homebuilding revenue. We remain focused on prudently managing overhead costs.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Seasonal and Quarterly Variability</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homebuilding operating cycle historically has reflected escalating new order activity in the second and third fiscal quarters and increased closings in the third and fourth fiscal quarters. However, these seasonal patterns may be impacted by a variety of factors, including periods of market volatility and changes in mortgage interest rates, which may result in increased or decreased new orders and/or revenues and closings that are outside of the normal ranges typically realized on account of seasonality. Accordingly, our financial results for the three months ended December 31, 2025 may not be indicative of our full year results.</w:t>
      </w: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certain key income statement metrics for the periods presented:</w:t>
      </w:r>
    </w:p>
    <w:p>
      <w:pPr>
        <w:spacing w:after="0" w:line="43"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76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10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100" w:type="dxa"/>
            <w:vAlign w:val="bottom"/>
            <w:gridSpan w:val="4"/>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760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4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600" w:type="dxa"/>
            <w:vAlign w:val="bottom"/>
            <w:tcBorders>
              <w:bottom w:val="single" w:sz="8" w:color="CCEEFF"/>
            </w:tcBorders>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4"/>
                <w:szCs w:val="14"/>
                <w:color w:val="auto"/>
              </w:rPr>
              <w:t>2024</w:t>
            </w:r>
          </w:p>
        </w:tc>
        <w:tc>
          <w:tcPr>
            <w:tcW w:w="2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4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Homebuilding</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359,742</w:t>
            </w:r>
          </w:p>
        </w:tc>
        <w:tc>
          <w:tcPr>
            <w:tcW w:w="980" w:type="dxa"/>
            <w:vAlign w:val="bottom"/>
            <w:gridSpan w:val="3"/>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460,422</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 sales and other</w:t>
            </w:r>
          </w:p>
        </w:tc>
        <w:tc>
          <w:tcPr>
            <w:tcW w:w="4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3,749</w:t>
            </w:r>
          </w:p>
        </w:tc>
        <w:tc>
          <w:tcPr>
            <w:tcW w:w="2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8,531</w:t>
            </w:r>
          </w:p>
        </w:tc>
        <w:tc>
          <w:tcPr>
            <w:tcW w:w="2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363,491</w:t>
            </w:r>
          </w:p>
        </w:tc>
        <w:tc>
          <w:tcPr>
            <w:tcW w:w="2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468,953</w:t>
            </w:r>
          </w:p>
        </w:tc>
        <w:tc>
          <w:tcPr>
            <w:tcW w:w="2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6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Gross profit:</w:t>
            </w:r>
          </w:p>
        </w:tc>
        <w:tc>
          <w:tcPr>
            <w:tcW w:w="4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Homebuilding</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37,416</w:t>
            </w:r>
          </w:p>
        </w:tc>
        <w:tc>
          <w:tcPr>
            <w:tcW w:w="980" w:type="dxa"/>
            <w:vAlign w:val="bottom"/>
            <w:gridSpan w:val="3"/>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69,975</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 sales and other</w:t>
            </w:r>
          </w:p>
        </w:tc>
        <w:tc>
          <w:tcPr>
            <w:tcW w:w="4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(212)</w:t>
            </w:r>
          </w:p>
        </w:tc>
        <w:tc>
          <w:tcPr>
            <w:tcW w:w="2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2,103</w:t>
            </w:r>
          </w:p>
        </w:tc>
        <w:tc>
          <w:tcPr>
            <w:tcW w:w="2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37,204</w:t>
            </w:r>
          </w:p>
        </w:tc>
        <w:tc>
          <w:tcPr>
            <w:tcW w:w="2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72,078</w:t>
            </w:r>
          </w:p>
        </w:tc>
        <w:tc>
          <w:tcPr>
            <w:tcW w:w="2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6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6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Gross margin:</w:t>
            </w:r>
          </w:p>
        </w:tc>
        <w:tc>
          <w:tcPr>
            <w:tcW w:w="4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7600" w:type="dxa"/>
            <w:vAlign w:val="bottom"/>
          </w:tcPr>
          <w:p>
            <w:pPr>
              <w:spacing w:after="0" w:line="230" w:lineRule="exact"/>
              <w:rPr>
                <w:sz w:val="20"/>
                <w:szCs w:val="20"/>
                <w:color w:val="auto"/>
              </w:rPr>
            </w:pPr>
            <w:r>
              <w:rPr>
                <w:rFonts w:ascii="Times New Roman" w:cs="Times New Roman" w:eastAsia="Times New Roman" w:hAnsi="Times New Roman"/>
                <w:sz w:val="18"/>
                <w:szCs w:val="18"/>
                <w:color w:val="auto"/>
              </w:rPr>
              <w:t>Homebuilding</w:t>
            </w:r>
            <w:r>
              <w:rPr>
                <w:rFonts w:ascii="Times New Roman" w:cs="Times New Roman" w:eastAsia="Times New Roman" w:hAnsi="Times New Roman"/>
                <w:sz w:val="23"/>
                <w:szCs w:val="23"/>
                <w:color w:val="auto"/>
                <w:vertAlign w:val="superscript"/>
              </w:rPr>
              <w:t>(a)</w:t>
            </w:r>
          </w:p>
        </w:tc>
        <w:tc>
          <w:tcPr>
            <w:tcW w:w="4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10.4</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7600" w:type="dxa"/>
            <w:vAlign w:val="bottom"/>
            <w:shd w:val="clear" w:color="auto" w:fill="CCEEFF"/>
          </w:tcPr>
          <w:p>
            <w:pPr>
              <w:spacing w:after="0" w:line="230" w:lineRule="exact"/>
              <w:rPr>
                <w:sz w:val="20"/>
                <w:szCs w:val="20"/>
                <w:color w:val="auto"/>
              </w:rPr>
            </w:pPr>
            <w:r>
              <w:rPr>
                <w:rFonts w:ascii="Times New Roman" w:cs="Times New Roman" w:eastAsia="Times New Roman" w:hAnsi="Times New Roman"/>
                <w:sz w:val="18"/>
                <w:szCs w:val="18"/>
                <w:color w:val="auto"/>
              </w:rPr>
              <w:t>Land sales and other</w:t>
            </w:r>
            <w:r>
              <w:rPr>
                <w:rFonts w:ascii="Times New Roman" w:cs="Times New Roman" w:eastAsia="Times New Roman" w:hAnsi="Times New Roman"/>
                <w:sz w:val="23"/>
                <w:szCs w:val="23"/>
                <w:color w:val="auto"/>
                <w:vertAlign w:val="superscript"/>
              </w:rPr>
              <w:t>(b)</w:t>
            </w:r>
          </w:p>
        </w:tc>
        <w:tc>
          <w:tcPr>
            <w:tcW w:w="4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(5.7) %</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4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10.2</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7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Commissions</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12,016</w:t>
            </w:r>
          </w:p>
        </w:tc>
        <w:tc>
          <w:tcPr>
            <w:tcW w:w="980" w:type="dxa"/>
            <w:vAlign w:val="bottom"/>
            <w:gridSpan w:val="3"/>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16,113</w:t>
            </w:r>
          </w:p>
        </w:tc>
        <w:tc>
          <w:tcPr>
            <w:tcW w:w="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General and administrative expenses (G&amp;A)</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52,989</w:t>
            </w:r>
          </w:p>
        </w:tc>
        <w:tc>
          <w:tcPr>
            <w:tcW w:w="980" w:type="dxa"/>
            <w:vAlign w:val="bottom"/>
            <w:gridSpan w:val="3"/>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49,772</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SG&amp;A (commissions plus G&amp;A) as a percentage of total revenue</w:t>
            </w:r>
          </w:p>
        </w:tc>
        <w:tc>
          <w:tcPr>
            <w:tcW w:w="4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17.9</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7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G&amp;A as a percentage of total revenue</w:t>
            </w:r>
          </w:p>
        </w:tc>
        <w:tc>
          <w:tcPr>
            <w:tcW w:w="4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14.6</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Depreciation and amortization</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4,042</w:t>
            </w:r>
          </w:p>
        </w:tc>
        <w:tc>
          <w:tcPr>
            <w:tcW w:w="980" w:type="dxa"/>
            <w:vAlign w:val="bottom"/>
            <w:gridSpan w:val="3"/>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4,055</w:t>
            </w:r>
          </w:p>
        </w:tc>
        <w:tc>
          <w:tcPr>
            <w:tcW w:w="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(loss) income</w:t>
            </w: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(31,843)</w:t>
            </w:r>
          </w:p>
        </w:tc>
        <w:tc>
          <w:tcPr>
            <w:tcW w:w="24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2,138</w:t>
            </w:r>
          </w:p>
        </w:tc>
        <w:tc>
          <w:tcPr>
            <w:tcW w:w="220" w:type="dxa"/>
            <w:vAlign w:val="bottom"/>
            <w:tcBorders>
              <w:top w:val="single" w:sz="8" w:color="auto"/>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6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7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(loss) income as a percentage of total revenue</w:t>
            </w:r>
          </w:p>
        </w:tc>
        <w:tc>
          <w:tcPr>
            <w:tcW w:w="4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(8.8) %</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7600" w:type="dxa"/>
            <w:vAlign w:val="bottom"/>
          </w:tcPr>
          <w:p>
            <w:pPr>
              <w:spacing w:after="0" w:line="230" w:lineRule="exact"/>
              <w:rPr>
                <w:sz w:val="20"/>
                <w:szCs w:val="20"/>
                <w:color w:val="auto"/>
              </w:rPr>
            </w:pPr>
            <w:r>
              <w:rPr>
                <w:rFonts w:ascii="Times New Roman" w:cs="Times New Roman" w:eastAsia="Times New Roman" w:hAnsi="Times New Roman"/>
                <w:sz w:val="18"/>
                <w:szCs w:val="18"/>
                <w:b w:val="1"/>
                <w:bCs w:val="1"/>
                <w:color w:val="auto"/>
              </w:rPr>
              <w:t>Effective tax rate</w:t>
            </w:r>
            <w:r>
              <w:rPr>
                <w:rFonts w:ascii="Times New Roman" w:cs="Times New Roman" w:eastAsia="Times New Roman" w:hAnsi="Times New Roman"/>
                <w:sz w:val="23"/>
                <w:szCs w:val="23"/>
                <w:b w:val="1"/>
                <w:bCs w:val="1"/>
                <w:color w:val="auto"/>
                <w:vertAlign w:val="superscript"/>
              </w:rPr>
              <w:t>(c)</w:t>
            </w:r>
          </w:p>
        </w:tc>
        <w:tc>
          <w:tcPr>
            <w:tcW w:w="400" w:type="dxa"/>
            <w:vAlign w:val="bottom"/>
          </w:tcPr>
          <w:p>
            <w:pPr>
              <w:spacing w:after="0"/>
              <w:rPr>
                <w:sz w:val="19"/>
                <w:szCs w:val="19"/>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(4.9) %</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Inventory impairments and abandonments</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2,370</w:t>
            </w:r>
          </w:p>
        </w:tc>
        <w:tc>
          <w:tcPr>
            <w:tcW w:w="980" w:type="dxa"/>
            <w:vAlign w:val="bottom"/>
            <w:gridSpan w:val="3"/>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ind w:left="180" w:right="40" w:hanging="172"/>
        <w:spacing w:after="0" w:line="258" w:lineRule="auto"/>
        <w:tabs>
          <w:tab w:leader="none" w:pos="177" w:val="left"/>
        </w:tabs>
        <w:numPr>
          <w:ilvl w:val="0"/>
          <w:numId w:val="20"/>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Excluding impairments, abandonments, and interest amortized to cost of sales, homebuilding gross margin was 14.0% and 18.2% for the three months ended December 31, 2025 and 2024, respectively. A litigation-related charge was recognized during the quarter ended December 31, 2025, which reduced homebuilding gross margin, excluding impairments, abandonments, and interest, by 1.8%. Please see the "Homebuilding Gross Profit and Gross Margin" section below for a reconciliation of homebuilding gross profit and the related gross margin excluding impairments and abandonments and interest amortized to cost of sales (non-GAAP measures) to homebuilding gross profit and gross margin, the most directly comparable GAAP measure.</w:t>
      </w:r>
    </w:p>
    <w:p>
      <w:pPr>
        <w:spacing w:after="0" w:line="110" w:lineRule="exact"/>
        <w:rPr>
          <w:rFonts w:ascii="Times New Roman" w:cs="Times New Roman" w:eastAsia="Times New Roman" w:hAnsi="Times New Roman"/>
          <w:sz w:val="22"/>
          <w:szCs w:val="22"/>
          <w:color w:val="auto"/>
          <w:vertAlign w:val="superscript"/>
        </w:rPr>
      </w:pPr>
    </w:p>
    <w:p>
      <w:pPr>
        <w:ind w:left="180" w:hanging="172"/>
        <w:spacing w:after="0"/>
        <w:tabs>
          <w:tab w:leader="none" w:pos="180" w:val="left"/>
        </w:tabs>
        <w:numPr>
          <w:ilvl w:val="0"/>
          <w:numId w:val="20"/>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Calculated as land sales and other gross profit divided by land sales and other revenue.</w:t>
      </w:r>
    </w:p>
    <w:p>
      <w:pPr>
        <w:spacing w:after="0" w:line="143" w:lineRule="exact"/>
        <w:rPr>
          <w:rFonts w:ascii="Times New Roman" w:cs="Times New Roman" w:eastAsia="Times New Roman" w:hAnsi="Times New Roman"/>
          <w:sz w:val="22"/>
          <w:szCs w:val="22"/>
          <w:color w:val="auto"/>
          <w:vertAlign w:val="superscript"/>
        </w:rPr>
      </w:pPr>
    </w:p>
    <w:p>
      <w:pPr>
        <w:ind w:left="180" w:hanging="172"/>
        <w:spacing w:after="0" w:line="258" w:lineRule="auto"/>
        <w:tabs>
          <w:tab w:leader="none" w:pos="192" w:val="left"/>
        </w:tabs>
        <w:numPr>
          <w:ilvl w:val="0"/>
          <w:numId w:val="20"/>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Calculated as tax expense for the period divided by (loss) income before income taxes. Our income tax expense is not always directly correlated to the amount of pre-tax (loss) income for the associated period due to a variety of factors, including, but not limited to, the impact of tax credits and permanent differences. Our tax credits are predominantly due to the energy efficiency of our homes, with credits valued between $2,000 and $5,000 per single family home. On July 4, 2025, the One Big Beautiful Bill Act (OBBBA) was signed into law. The OBBBA repeals many of the energy efficiency credits enacted under the Inflation Reduction Act, including our ability to claim energy efficient new home tax credits for homes that close after June 30, 2026.</w:t>
      </w: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Reconciliation of Net (Loss) Income (GAAP) to Adjusted EBITDA (Non-GAAP)</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Reconciliation of Net (Loss) Income (GAAP measure) to Adjusted EBITDA (Non-GAAP measure) is provided for each period discussed below. Management believes that Adjusted EBITDA assists investors in understanding and comparing core operating results and underlying business trends by eliminating many of the differences in companies' respective capitalization, tax position, level of impairments, and other non-recurring items. This non-GAAP financial measure may not be comparable to other similarly titled measures of other companies and should not be considered in isolation or as a substitute for, or superior to, financial measures prepared in accordance with GAAP.</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reconciles our net (loss) income (GAAP) to Adjusted EBITDA (non-GAAP) for the periods presented:</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20" w:type="dxa"/>
            <w:vAlign w:val="bottom"/>
            <w:gridSpan w:val="8"/>
          </w:tcPr>
          <w:p>
            <w:pPr>
              <w:ind w:left="260"/>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220" w:type="dxa"/>
            <w:vAlign w:val="bottom"/>
          </w:tcPr>
          <w:p>
            <w:pPr>
              <w:spacing w:after="0"/>
              <w:rPr>
                <w:sz w:val="18"/>
                <w:szCs w:val="18"/>
                <w:color w:val="auto"/>
              </w:rPr>
            </w:pPr>
          </w:p>
        </w:tc>
        <w:tc>
          <w:tcPr>
            <w:tcW w:w="2920" w:type="dxa"/>
            <w:vAlign w:val="bottom"/>
            <w:gridSpan w:val="7"/>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LTM Ended December 31,</w:t>
            </w:r>
            <w:r>
              <w:rPr>
                <w:rFonts w:ascii="Times New Roman" w:cs="Times New Roman" w:eastAsia="Times New Roman" w:hAnsi="Times New Roman"/>
                <w:sz w:val="18"/>
                <w:szCs w:val="18"/>
                <w:b w:val="1"/>
                <w:bCs w:val="1"/>
                <w:color w:val="auto"/>
                <w:vertAlign w:val="superscript"/>
              </w:rPr>
              <w:t>(a)</w:t>
            </w:r>
          </w:p>
        </w:tc>
      </w:tr>
      <w:tr>
        <w:trPr>
          <w:trHeight w:val="190"/>
        </w:trPr>
        <w:tc>
          <w:tcPr>
            <w:tcW w:w="4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20" w:type="dxa"/>
            <w:vAlign w:val="bottom"/>
            <w:tcBorders>
              <w:top w:val="single" w:sz="8" w:color="auto"/>
              <w:bottom w:val="single" w:sz="8" w:color="auto"/>
            </w:tcBorders>
          </w:tcPr>
          <w:p>
            <w:pPr>
              <w:spacing w:after="0"/>
              <w:rPr>
                <w:sz w:val="16"/>
                <w:szCs w:val="16"/>
                <w:color w:val="auto"/>
              </w:rPr>
            </w:pPr>
          </w:p>
        </w:tc>
        <w:tc>
          <w:tcPr>
            <w:tcW w:w="760" w:type="dxa"/>
            <w:vAlign w:val="bottom"/>
            <w:tcBorders>
              <w:top w:val="single" w:sz="8" w:color="auto"/>
              <w:bottom w:val="single" w:sz="8" w:color="auto"/>
            </w:tcBorders>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760" w:type="dxa"/>
            <w:vAlign w:val="bottom"/>
            <w:tcBorders>
              <w:top w:val="single" w:sz="8" w:color="auto"/>
              <w:bottom w:val="single" w:sz="8" w:color="auto"/>
            </w:tcBorders>
          </w:tcPr>
          <w:p>
            <w:pPr>
              <w:jc w:val="right"/>
              <w:ind w:right="280"/>
              <w:spacing w:after="0"/>
              <w:rPr>
                <w:sz w:val="20"/>
                <w:szCs w:val="20"/>
                <w:color w:val="auto"/>
              </w:rPr>
            </w:pPr>
            <w:r>
              <w:rPr>
                <w:rFonts w:ascii="Times New Roman" w:cs="Times New Roman" w:eastAsia="Times New Roman" w:hAnsi="Times New Roman"/>
                <w:sz w:val="14"/>
                <w:szCs w:val="14"/>
                <w:color w:val="auto"/>
              </w:rPr>
              <w:t>2024</w:t>
            </w:r>
          </w:p>
        </w:tc>
        <w:tc>
          <w:tcPr>
            <w:tcW w:w="100" w:type="dxa"/>
            <w:vAlign w:val="bottom"/>
            <w:tcBorders>
              <w:top w:val="single" w:sz="8" w:color="auto"/>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800" w:type="dxa"/>
            <w:vAlign w:val="bottom"/>
            <w:tcBorders>
              <w:top w:val="single" w:sz="8" w:color="auto"/>
              <w:bottom w:val="single" w:sz="8" w:color="auto"/>
            </w:tcBorders>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25 vs 24</w:t>
            </w:r>
          </w:p>
        </w:tc>
        <w:tc>
          <w:tcPr>
            <w:tcW w:w="100" w:type="dxa"/>
            <w:vAlign w:val="bottom"/>
            <w:tcBorders>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760" w:type="dxa"/>
            <w:vAlign w:val="bottom"/>
            <w:tcBorders>
              <w:top w:val="single" w:sz="8" w:color="auto"/>
              <w:bottom w:val="single" w:sz="8" w:color="auto"/>
            </w:tcBorders>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760" w:type="dxa"/>
            <w:vAlign w:val="bottom"/>
            <w:tcBorders>
              <w:top w:val="single" w:sz="8" w:color="auto"/>
              <w:bottom w:val="single" w:sz="8" w:color="auto"/>
            </w:tcBorders>
          </w:tcPr>
          <w:p>
            <w:pPr>
              <w:jc w:val="right"/>
              <w:ind w:right="280"/>
              <w:spacing w:after="0"/>
              <w:rPr>
                <w:sz w:val="20"/>
                <w:szCs w:val="20"/>
                <w:color w:val="auto"/>
              </w:rPr>
            </w:pPr>
            <w:r>
              <w:rPr>
                <w:rFonts w:ascii="Times New Roman" w:cs="Times New Roman" w:eastAsia="Times New Roman" w:hAnsi="Times New Roman"/>
                <w:sz w:val="14"/>
                <w:szCs w:val="14"/>
                <w:color w:val="auto"/>
              </w:rPr>
              <w:t>2024</w:t>
            </w:r>
          </w:p>
        </w:tc>
        <w:tc>
          <w:tcPr>
            <w:tcW w:w="100" w:type="dxa"/>
            <w:vAlign w:val="bottom"/>
            <w:tcBorders>
              <w:top w:val="single" w:sz="8" w:color="auto"/>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800" w:type="dxa"/>
            <w:vAlign w:val="bottom"/>
            <w:tcBorders>
              <w:top w:val="single" w:sz="8" w:color="auto"/>
              <w:bottom w:val="single" w:sz="8" w:color="auto"/>
            </w:tcBorders>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25 vs 24</w:t>
            </w:r>
          </w:p>
        </w:tc>
      </w:tr>
      <w:tr>
        <w:trPr>
          <w:trHeight w:val="216"/>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income (GAAP)</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(32,597)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3,130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(35,727)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9,861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121,577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(111,716)</w:t>
            </w:r>
          </w:p>
        </w:tc>
      </w:tr>
      <w:tr>
        <w:trPr>
          <w:trHeight w:val="229"/>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Expense from income taxes</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1,532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1,496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(3,242)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17,765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(21,007)</w:t>
            </w:r>
          </w:p>
        </w:tc>
      </w:tr>
      <w:tr>
        <w:trPr>
          <w:trHeight w:val="176"/>
        </w:trPr>
        <w:tc>
          <w:tcPr>
            <w:tcW w:w="47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Interest amortized to home construction and land sales expenses</w:t>
            </w: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r>
      <w:tr>
        <w:trPr>
          <w:trHeight w:val="243"/>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and capitalized interest impaired</w:t>
            </w:r>
          </w:p>
        </w:tc>
        <w:tc>
          <w:tcPr>
            <w:tcW w:w="22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11,923</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13,910</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(1,987)</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76,879</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70,953</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5,926</w:t>
            </w:r>
          </w:p>
        </w:tc>
      </w:tr>
      <w:tr>
        <w:trPr>
          <w:trHeight w:val="210"/>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EBIT (Non-GAAP)</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(19,142)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17,076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(36,218)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83,498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210,295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(126,797)</w:t>
            </w:r>
          </w:p>
        </w:tc>
      </w:tr>
      <w:tr>
        <w:trPr>
          <w:trHeight w:val="229"/>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4,042</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4,055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(13)</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19,155</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16,689</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2,466</w:t>
            </w:r>
          </w:p>
        </w:tc>
      </w:tr>
      <w:tr>
        <w:trPr>
          <w:trHeight w:val="209"/>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EBITDA (Non-GAAP)</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(15,100)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21,131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(36,231)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102,653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226,984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(124,331)</w:t>
            </w:r>
          </w:p>
        </w:tc>
      </w:tr>
      <w:tr>
        <w:trPr>
          <w:trHeight w:val="230"/>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1,554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(359)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6,979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7,631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(652)</w:t>
            </w:r>
          </w:p>
        </w:tc>
      </w:tr>
      <w:tr>
        <w:trPr>
          <w:trHeight w:val="229"/>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22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22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22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(424)</w:t>
            </w:r>
          </w:p>
        </w:tc>
      </w:tr>
      <w:tr>
        <w:trPr>
          <w:trHeight w:val="270"/>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Inventory impairments and abandonments</w:t>
            </w:r>
            <w:r>
              <w:rPr>
                <w:rFonts w:ascii="Times New Roman" w:cs="Times New Roman" w:eastAsia="Times New Roman" w:hAnsi="Times New Roman"/>
                <w:sz w:val="23"/>
                <w:szCs w:val="23"/>
                <w:color w:val="auto"/>
                <w:vertAlign w:val="superscript"/>
              </w:rPr>
              <w:t>(b)</w:t>
            </w:r>
          </w:p>
        </w:tc>
        <w:tc>
          <w:tcPr>
            <w:tcW w:w="220" w:type="dxa"/>
            <w:vAlign w:val="bottom"/>
            <w:shd w:val="clear" w:color="auto" w:fill="CCEEFF"/>
          </w:tcPr>
          <w:p>
            <w:pPr>
              <w:spacing w:after="0"/>
              <w:rPr>
                <w:sz w:val="23"/>
                <w:szCs w:val="23"/>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2,304</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3"/>
                <w:szCs w:val="23"/>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2,304</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13,801</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1,996</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11,805</w:t>
            </w:r>
          </w:p>
        </w:tc>
      </w:tr>
      <w:tr>
        <w:trPr>
          <w:trHeight w:val="229"/>
        </w:trPr>
        <w:tc>
          <w:tcPr>
            <w:tcW w:w="47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Gain on sale of investment</w:t>
            </w:r>
            <w:r>
              <w:rPr>
                <w:rFonts w:ascii="Times New Roman" w:cs="Times New Roman" w:eastAsia="Times New Roman" w:hAnsi="Times New Roman"/>
                <w:sz w:val="23"/>
                <w:szCs w:val="23"/>
                <w:color w:val="auto"/>
                <w:vertAlign w:val="superscript"/>
              </w:rPr>
              <w:t>(c)</w:t>
            </w:r>
          </w:p>
        </w:tc>
        <w:tc>
          <w:tcPr>
            <w:tcW w:w="22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22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22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(8,591)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8,591</w:t>
            </w:r>
          </w:p>
        </w:tc>
      </w:tr>
      <w:tr>
        <w:trPr>
          <w:trHeight w:val="235"/>
        </w:trPr>
        <w:tc>
          <w:tcPr>
            <w:tcW w:w="47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 (Non-GAAP)</w:t>
            </w: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(11,242)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23,044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(34,286)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123,433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228,444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(105,011)</w:t>
            </w:r>
          </w:p>
        </w:tc>
      </w:tr>
      <w:tr>
        <w:trPr>
          <w:trHeight w:val="20"/>
        </w:trPr>
        <w:tc>
          <w:tcPr>
            <w:tcW w:w="47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160" w:hanging="152"/>
        <w:spacing w:after="0"/>
        <w:tabs>
          <w:tab w:leader="none" w:pos="160" w:val="left"/>
        </w:tabs>
        <w:numPr>
          <w:ilvl w:val="0"/>
          <w:numId w:val="21"/>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"LTM" indicates amounts for the trailing 12 months.</w:t>
      </w:r>
    </w:p>
    <w:p>
      <w:pPr>
        <w:spacing w:after="0" w:line="94" w:lineRule="exact"/>
        <w:rPr>
          <w:rFonts w:ascii="Times New Roman" w:cs="Times New Roman" w:eastAsia="Times New Roman" w:hAnsi="Times New Roman"/>
          <w:sz w:val="20"/>
          <w:szCs w:val="20"/>
          <w:color w:val="auto"/>
          <w:vertAlign w:val="superscript"/>
        </w:rPr>
      </w:pPr>
    </w:p>
    <w:p>
      <w:pPr>
        <w:ind w:left="180" w:right="420" w:hanging="172"/>
        <w:spacing w:after="0" w:line="229" w:lineRule="auto"/>
        <w:tabs>
          <w:tab w:leader="none" w:pos="199" w:val="left"/>
        </w:tabs>
        <w:numPr>
          <w:ilvl w:val="0"/>
          <w:numId w:val="2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 periods during which we impaired certain of our inventory assets, capitalized interest that is impaired is included in the line above titled "Interest amortized to home construction and land sales expenses and capitalized interest impaired."</w:t>
      </w:r>
    </w:p>
    <w:p>
      <w:pPr>
        <w:spacing w:after="0" w:line="90" w:lineRule="exact"/>
        <w:rPr>
          <w:rFonts w:ascii="Times New Roman" w:cs="Times New Roman" w:eastAsia="Times New Roman" w:hAnsi="Times New Roman"/>
          <w:sz w:val="23"/>
          <w:szCs w:val="23"/>
          <w:color w:val="auto"/>
          <w:vertAlign w:val="superscript"/>
        </w:rPr>
      </w:pPr>
    </w:p>
    <w:p>
      <w:pPr>
        <w:ind w:left="180" w:right="80" w:hanging="172"/>
        <w:spacing w:after="0" w:line="258" w:lineRule="auto"/>
        <w:tabs>
          <w:tab w:leader="none" w:pos="192" w:val="left"/>
        </w:tabs>
        <w:numPr>
          <w:ilvl w:val="0"/>
          <w:numId w:val="2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We previously held a minority interest in a technology company specializing in digital marketing for new home communities, which was sold during the quarter ended March 31, 2024. In exchange for the previously held investment, we received cash in escrow along with a minority partnership interest in the acquiring company, which was recorded within other assets in our condensed consolidated balance sheets. The resulting gain of $8.6 million from this transaction was recognized in other income, net on our condensed consolidated statement of operations. The Company believes excluding this one-time gain from Adjusted EBITDA provides a better reflection of the Company's performance as this item is not representative of our core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Reconciliation of Total Debt to Total Capitalization Ratio (GAAP) to Net Debt to Net Capitalization Ratio (Non-GAAP)</w:t>
      </w:r>
    </w:p>
    <w:p>
      <w:pPr>
        <w:spacing w:after="0" w:line="12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Reconciliation of total debt to total capitalization ratio (GAAP measure) to net debt to net capitalization ratio (non-GAAP measure) is provided for each period below. Management believes that net debt to net capitalization ratio is useful in understanding the leverage employed in our operations and as an indicator of our ability to obtain financing. This non-GAAP financial measure may not be comparable to other similarly titled measures of other companies and should not be considered in isolation or as a substitute for, or superior to, financial measures prepared in accordance with GAAP.</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5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As of December 31, 2025</w:t>
            </w:r>
          </w:p>
        </w:tc>
        <w:tc>
          <w:tcPr>
            <w:tcW w:w="140" w:type="dxa"/>
            <w:vAlign w:val="bottom"/>
          </w:tcPr>
          <w:p>
            <w:pPr>
              <w:spacing w:after="0"/>
              <w:rPr>
                <w:sz w:val="16"/>
                <w:szCs w:val="16"/>
                <w:color w:val="auto"/>
              </w:rPr>
            </w:pPr>
          </w:p>
        </w:tc>
        <w:tc>
          <w:tcPr>
            <w:tcW w:w="1720" w:type="dxa"/>
            <w:vAlign w:val="bottom"/>
          </w:tcPr>
          <w:p>
            <w:pPr>
              <w:jc w:val="right"/>
              <w:ind w:right="112"/>
              <w:spacing w:after="0"/>
              <w:rPr>
                <w:sz w:val="20"/>
                <w:szCs w:val="20"/>
                <w:color w:val="auto"/>
              </w:rPr>
            </w:pPr>
            <w:r>
              <w:rPr>
                <w:rFonts w:ascii="Times New Roman" w:cs="Times New Roman" w:eastAsia="Times New Roman" w:hAnsi="Times New Roman"/>
                <w:sz w:val="14"/>
                <w:szCs w:val="14"/>
                <w:color w:val="auto"/>
              </w:rPr>
              <w:t>As of December 31, 2024</w:t>
            </w:r>
          </w:p>
        </w:tc>
        <w:tc>
          <w:tcPr>
            <w:tcW w:w="0" w:type="dxa"/>
            <w:vAlign w:val="bottom"/>
          </w:tcPr>
          <w:p>
            <w:pPr>
              <w:spacing w:after="0"/>
              <w:rPr>
                <w:sz w:val="1"/>
                <w:szCs w:val="1"/>
                <w:color w:val="auto"/>
              </w:rPr>
            </w:pPr>
          </w:p>
        </w:tc>
      </w:tr>
      <w:tr>
        <w:trPr>
          <w:trHeight w:val="23"/>
        </w:trPr>
        <w:tc>
          <w:tcPr>
            <w:tcW w:w="4520" w:type="dxa"/>
            <w:vAlign w:val="bottom"/>
            <w:tcBorders>
              <w:bottom w:val="single" w:sz="8" w:color="CCEEFF"/>
            </w:tcBorders>
          </w:tcPr>
          <w:p>
            <w:pPr>
              <w:spacing w:after="0"/>
              <w:rPr>
                <w:sz w:val="2"/>
                <w:szCs w:val="2"/>
                <w:color w:val="auto"/>
              </w:rPr>
            </w:pPr>
          </w:p>
        </w:tc>
        <w:tc>
          <w:tcPr>
            <w:tcW w:w="28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debt (GAAP)</w:t>
            </w:r>
          </w:p>
        </w:tc>
        <w:tc>
          <w:tcPr>
            <w:tcW w:w="286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7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1,125,055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1,071,290</w:t>
            </w:r>
          </w:p>
        </w:tc>
        <w:tc>
          <w:tcPr>
            <w:tcW w:w="0" w:type="dxa"/>
            <w:vAlign w:val="bottom"/>
          </w:tcPr>
          <w:p>
            <w:pPr>
              <w:spacing w:after="0"/>
              <w:rPr>
                <w:sz w:val="1"/>
                <w:szCs w:val="1"/>
                <w:color w:val="auto"/>
              </w:rPr>
            </w:pPr>
          </w:p>
        </w:tc>
      </w:tr>
      <w:tr>
        <w:trPr>
          <w:trHeight w:val="229"/>
        </w:trPr>
        <w:tc>
          <w:tcPr>
            <w:tcW w:w="4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Stockholders' equity (GAAP)</w:t>
            </w:r>
          </w:p>
        </w:tc>
        <w:tc>
          <w:tcPr>
            <w:tcW w:w="28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1,200,248</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1,234,048</w:t>
            </w:r>
          </w:p>
        </w:tc>
        <w:tc>
          <w:tcPr>
            <w:tcW w:w="0" w:type="dxa"/>
            <w:vAlign w:val="bottom"/>
          </w:tcPr>
          <w:p>
            <w:pPr>
              <w:spacing w:after="0"/>
              <w:rPr>
                <w:sz w:val="1"/>
                <w:szCs w:val="1"/>
                <w:color w:val="auto"/>
              </w:rPr>
            </w:pPr>
          </w:p>
        </w:tc>
      </w:tr>
      <w:tr>
        <w:trPr>
          <w:trHeight w:val="248"/>
        </w:trPr>
        <w:tc>
          <w:tcPr>
            <w:tcW w:w="4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capitalization (GAAP)</w:t>
            </w:r>
          </w:p>
        </w:tc>
        <w:tc>
          <w:tcPr>
            <w:tcW w:w="28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74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2,325,303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2,305,338</w:t>
            </w:r>
          </w:p>
        </w:tc>
        <w:tc>
          <w:tcPr>
            <w:tcW w:w="0" w:type="dxa"/>
            <w:vAlign w:val="bottom"/>
          </w:tcPr>
          <w:p>
            <w:pPr>
              <w:spacing w:after="0"/>
              <w:rPr>
                <w:sz w:val="1"/>
                <w:szCs w:val="1"/>
                <w:color w:val="auto"/>
              </w:rPr>
            </w:pPr>
          </w:p>
        </w:tc>
      </w:tr>
      <w:tr>
        <w:trPr>
          <w:trHeight w:val="20"/>
        </w:trPr>
        <w:tc>
          <w:tcPr>
            <w:tcW w:w="4520" w:type="dxa"/>
            <w:vAlign w:val="bottom"/>
            <w:tcBorders>
              <w:top w:val="single" w:sz="8" w:color="CCEEFF"/>
            </w:tcBorders>
          </w:tcPr>
          <w:p>
            <w:pPr>
              <w:spacing w:after="0" w:line="20" w:lineRule="exact"/>
              <w:rPr>
                <w:sz w:val="1"/>
                <w:szCs w:val="1"/>
                <w:color w:val="auto"/>
              </w:rPr>
            </w:pPr>
          </w:p>
        </w:tc>
        <w:tc>
          <w:tcPr>
            <w:tcW w:w="28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52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Total debt to total capitalization ratio (GAAP)</w:t>
            </w:r>
          </w:p>
        </w:tc>
        <w:tc>
          <w:tcPr>
            <w:tcW w:w="28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48.4 %</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46.5 %</w:t>
            </w:r>
          </w:p>
        </w:tc>
        <w:tc>
          <w:tcPr>
            <w:tcW w:w="0" w:type="dxa"/>
            <w:vAlign w:val="bottom"/>
          </w:tcPr>
          <w:p>
            <w:pPr>
              <w:spacing w:after="0"/>
              <w:rPr>
                <w:sz w:val="1"/>
                <w:szCs w:val="1"/>
                <w:color w:val="auto"/>
              </w:rPr>
            </w:pPr>
          </w:p>
        </w:tc>
      </w:tr>
      <w:tr>
        <w:trPr>
          <w:trHeight w:val="20"/>
        </w:trPr>
        <w:tc>
          <w:tcPr>
            <w:tcW w:w="4520" w:type="dxa"/>
            <w:vAlign w:val="bottom"/>
            <w:tcBorders>
              <w:bottom w:val="single" w:sz="8" w:color="CCEEFF"/>
            </w:tcBorders>
          </w:tcPr>
          <w:p>
            <w:pPr>
              <w:spacing w:after="0" w:line="20" w:lineRule="exact"/>
              <w:rPr>
                <w:sz w:val="1"/>
                <w:szCs w:val="1"/>
                <w:color w:val="auto"/>
              </w:rPr>
            </w:pPr>
          </w:p>
        </w:tc>
        <w:tc>
          <w:tcPr>
            <w:tcW w:w="28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520" w:type="dxa"/>
            <w:vAlign w:val="bottom"/>
            <w:shd w:val="clear" w:color="auto" w:fill="CCEEFF"/>
          </w:tcPr>
          <w:p>
            <w:pPr>
              <w:spacing w:after="0"/>
              <w:rPr>
                <w:sz w:val="20"/>
                <w:szCs w:val="20"/>
                <w:color w:val="auto"/>
              </w:rPr>
            </w:pPr>
          </w:p>
        </w:tc>
        <w:tc>
          <w:tcPr>
            <w:tcW w:w="28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7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7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debt (GAAP)</w:t>
            </w:r>
          </w:p>
        </w:tc>
        <w:tc>
          <w:tcPr>
            <w:tcW w:w="30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740" w:type="dxa"/>
            <w:vAlign w:val="bottom"/>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1,125,055</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1,071,290</w:t>
            </w:r>
          </w:p>
        </w:tc>
        <w:tc>
          <w:tcPr>
            <w:tcW w:w="0" w:type="dxa"/>
            <w:vAlign w:val="bottom"/>
          </w:tcPr>
          <w:p>
            <w:pPr>
              <w:spacing w:after="0"/>
              <w:rPr>
                <w:sz w:val="1"/>
                <w:szCs w:val="1"/>
                <w:color w:val="auto"/>
              </w:rPr>
            </w:pPr>
          </w:p>
        </w:tc>
      </w:tr>
      <w:tr>
        <w:trPr>
          <w:trHeight w:val="229"/>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cash and cash equivalents (GAAP)</w:t>
            </w:r>
          </w:p>
        </w:tc>
        <w:tc>
          <w:tcPr>
            <w:tcW w:w="286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120,757</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80,379</w:t>
            </w:r>
          </w:p>
        </w:tc>
        <w:tc>
          <w:tcPr>
            <w:tcW w:w="0" w:type="dxa"/>
            <w:vAlign w:val="bottom"/>
          </w:tcPr>
          <w:p>
            <w:pPr>
              <w:spacing w:after="0"/>
              <w:rPr>
                <w:sz w:val="1"/>
                <w:szCs w:val="1"/>
                <w:color w:val="auto"/>
              </w:rPr>
            </w:pPr>
          </w:p>
        </w:tc>
      </w:tr>
      <w:tr>
        <w:trPr>
          <w:trHeight w:val="223"/>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debt (Non-GAAP)</w:t>
            </w:r>
          </w:p>
        </w:tc>
        <w:tc>
          <w:tcPr>
            <w:tcW w:w="2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40" w:type="dxa"/>
            <w:vAlign w:val="bottom"/>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1,004,298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990,911</w:t>
            </w:r>
          </w:p>
        </w:tc>
        <w:tc>
          <w:tcPr>
            <w:tcW w:w="0" w:type="dxa"/>
            <w:vAlign w:val="bottom"/>
          </w:tcPr>
          <w:p>
            <w:pPr>
              <w:spacing w:after="0"/>
              <w:rPr>
                <w:sz w:val="1"/>
                <w:szCs w:val="1"/>
                <w:color w:val="auto"/>
              </w:rPr>
            </w:pPr>
          </w:p>
        </w:tc>
      </w:tr>
      <w:tr>
        <w:trPr>
          <w:trHeight w:val="229"/>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Stockholders' equity (GAAP)</w:t>
            </w:r>
          </w:p>
        </w:tc>
        <w:tc>
          <w:tcPr>
            <w:tcW w:w="286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1,200,248</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1,234,048</w:t>
            </w:r>
          </w:p>
        </w:tc>
        <w:tc>
          <w:tcPr>
            <w:tcW w:w="0" w:type="dxa"/>
            <w:vAlign w:val="bottom"/>
          </w:tcPr>
          <w:p>
            <w:pPr>
              <w:spacing w:after="0"/>
              <w:rPr>
                <w:sz w:val="1"/>
                <w:szCs w:val="1"/>
                <w:color w:val="auto"/>
              </w:rPr>
            </w:pPr>
          </w:p>
        </w:tc>
      </w:tr>
      <w:tr>
        <w:trPr>
          <w:trHeight w:val="223"/>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capitalization (Non-GAAP)</w:t>
            </w:r>
          </w:p>
        </w:tc>
        <w:tc>
          <w:tcPr>
            <w:tcW w:w="286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74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2,204,546</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2,224,959</w:t>
            </w:r>
          </w:p>
        </w:tc>
        <w:tc>
          <w:tcPr>
            <w:tcW w:w="0" w:type="dxa"/>
            <w:vAlign w:val="bottom"/>
          </w:tcPr>
          <w:p>
            <w:pPr>
              <w:spacing w:after="0"/>
              <w:rPr>
                <w:sz w:val="1"/>
                <w:szCs w:val="1"/>
                <w:color w:val="auto"/>
              </w:rPr>
            </w:pPr>
          </w:p>
        </w:tc>
      </w:tr>
      <w:tr>
        <w:trPr>
          <w:trHeight w:val="20"/>
        </w:trPr>
        <w:tc>
          <w:tcPr>
            <w:tcW w:w="4520" w:type="dxa"/>
            <w:vAlign w:val="bottom"/>
            <w:tcBorders>
              <w:bottom w:val="single" w:sz="8" w:color="CCEEFF"/>
            </w:tcBorders>
          </w:tcPr>
          <w:p>
            <w:pPr>
              <w:spacing w:after="0" w:line="20" w:lineRule="exact"/>
              <w:rPr>
                <w:sz w:val="1"/>
                <w:szCs w:val="1"/>
                <w:color w:val="auto"/>
              </w:rPr>
            </w:pPr>
          </w:p>
        </w:tc>
        <w:tc>
          <w:tcPr>
            <w:tcW w:w="28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4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debt to net capitalization ratio (Non-GAAP)</w:t>
            </w:r>
          </w:p>
        </w:tc>
        <w:tc>
          <w:tcPr>
            <w:tcW w:w="28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45.6 %</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44.5 %</w:t>
            </w:r>
          </w:p>
        </w:tc>
        <w:tc>
          <w:tcPr>
            <w:tcW w:w="0" w:type="dxa"/>
            <w:vAlign w:val="bottom"/>
          </w:tcPr>
          <w:p>
            <w:pPr>
              <w:spacing w:after="0"/>
              <w:rPr>
                <w:sz w:val="1"/>
                <w:szCs w:val="1"/>
                <w:color w:val="auto"/>
              </w:rPr>
            </w:pPr>
          </w:p>
        </w:tc>
      </w:tr>
      <w:tr>
        <w:trPr>
          <w:trHeight w:val="20"/>
        </w:trPr>
        <w:tc>
          <w:tcPr>
            <w:tcW w:w="4520" w:type="dxa"/>
            <w:vAlign w:val="bottom"/>
            <w:tcBorders>
              <w:top w:val="single" w:sz="8" w:color="CCEEFF"/>
            </w:tcBorders>
          </w:tcPr>
          <w:p>
            <w:pPr>
              <w:spacing w:after="0" w:line="20" w:lineRule="exact"/>
              <w:rPr>
                <w:sz w:val="1"/>
                <w:szCs w:val="1"/>
                <w:color w:val="auto"/>
              </w:rPr>
            </w:pPr>
          </w:p>
        </w:tc>
        <w:tc>
          <w:tcPr>
            <w:tcW w:w="2860" w:type="dxa"/>
            <w:vAlign w:val="bottom"/>
            <w:tcBorders>
              <w:top w:val="single" w:sz="8" w:color="CCEEFF"/>
              <w:bottom w:val="single" w:sz="8" w:color="CCEEFF"/>
            </w:tcBorders>
            <w:vMerge w:val="restart"/>
          </w:tcPr>
          <w:p>
            <w:pPr>
              <w:jc w:val="right"/>
              <w:ind w:right="1599"/>
              <w:spacing w:after="0"/>
              <w:rPr>
                <w:sz w:val="20"/>
                <w:szCs w:val="20"/>
                <w:color w:val="auto"/>
              </w:rPr>
            </w:pPr>
            <w:r>
              <w:rPr>
                <w:rFonts w:ascii="Times New Roman" w:cs="Times New Roman" w:eastAsia="Times New Roman" w:hAnsi="Times New Roman"/>
                <w:sz w:val="14"/>
                <w:szCs w:val="14"/>
                <w:color w:val="auto"/>
              </w:rPr>
              <w:t>29</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8"/>
        </w:trPr>
        <w:tc>
          <w:tcPr>
            <w:tcW w:w="4520" w:type="dxa"/>
            <w:vAlign w:val="bottom"/>
          </w:tcPr>
          <w:p>
            <w:pPr>
              <w:spacing w:after="0"/>
              <w:rPr>
                <w:sz w:val="24"/>
                <w:szCs w:val="24"/>
                <w:color w:val="auto"/>
              </w:rPr>
            </w:pPr>
          </w:p>
        </w:tc>
        <w:tc>
          <w:tcPr>
            <w:tcW w:w="286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5"/>
        </w:trPr>
        <w:tc>
          <w:tcPr>
            <w:tcW w:w="4520" w:type="dxa"/>
            <w:vAlign w:val="bottom"/>
            <w:tcBorders>
              <w:bottom w:val="single" w:sz="8" w:color="9A9A9A"/>
            </w:tcBorders>
          </w:tcPr>
          <w:p>
            <w:pPr>
              <w:spacing w:after="0"/>
              <w:rPr>
                <w:sz w:val="10"/>
                <w:szCs w:val="10"/>
                <w:color w:val="auto"/>
              </w:rPr>
            </w:pPr>
          </w:p>
        </w:tc>
        <w:tc>
          <w:tcPr>
            <w:tcW w:w="28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7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Homebuilding Operations Data</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net new orders and cancellation rates by reportable segment for the periods presented:</w:t>
      </w:r>
    </w:p>
    <w:p>
      <w:pPr>
        <w:spacing w:after="0" w:line="43"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45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440" w:type="dxa"/>
            <w:vAlign w:val="bottom"/>
            <w:gridSpan w:val="5"/>
          </w:tcPr>
          <w:p>
            <w:pPr>
              <w:ind w:left="240"/>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23"/>
        </w:trPr>
        <w:tc>
          <w:tcPr>
            <w:tcW w:w="450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3"/>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3"/>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190"/>
        </w:trPr>
        <w:tc>
          <w:tcPr>
            <w:tcW w:w="450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ind w:left="160"/>
              <w:spacing w:after="0"/>
              <w:rPr>
                <w:sz w:val="20"/>
                <w:szCs w:val="20"/>
                <w:color w:val="auto"/>
              </w:rPr>
            </w:pPr>
            <w:r>
              <w:rPr>
                <w:rFonts w:ascii="Times New Roman" w:cs="Times New Roman" w:eastAsia="Times New Roman" w:hAnsi="Times New Roman"/>
                <w:sz w:val="14"/>
                <w:szCs w:val="14"/>
                <w:b w:val="1"/>
                <w:bCs w:val="1"/>
                <w:color w:val="auto"/>
              </w:rPr>
              <w:t>New Orders, net</w:t>
            </w:r>
          </w:p>
        </w:tc>
        <w:tc>
          <w:tcPr>
            <w:tcW w:w="13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ind w:left="280"/>
              <w:spacing w:after="0"/>
              <w:rPr>
                <w:sz w:val="20"/>
                <w:szCs w:val="20"/>
                <w:color w:val="auto"/>
              </w:rPr>
            </w:pPr>
            <w:r>
              <w:rPr>
                <w:rFonts w:ascii="Times New Roman" w:cs="Times New Roman" w:eastAsia="Times New Roman" w:hAnsi="Times New Roman"/>
                <w:sz w:val="14"/>
                <w:szCs w:val="14"/>
                <w:b w:val="1"/>
                <w:bCs w:val="1"/>
                <w:color w:val="auto"/>
              </w:rPr>
              <w:t>Cancellation Rates</w:t>
            </w:r>
          </w:p>
        </w:tc>
        <w:tc>
          <w:tcPr>
            <w:tcW w:w="800" w:type="dxa"/>
            <w:vAlign w:val="bottom"/>
            <w:tcBorders>
              <w:bottom w:val="single" w:sz="8" w:color="auto"/>
            </w:tcBorders>
          </w:tcPr>
          <w:p>
            <w:pPr>
              <w:spacing w:after="0"/>
              <w:rPr>
                <w:sz w:val="16"/>
                <w:szCs w:val="16"/>
                <w:color w:val="auto"/>
              </w:rPr>
            </w:pPr>
          </w:p>
        </w:tc>
      </w:tr>
      <w:tr>
        <w:trPr>
          <w:trHeight w:val="196"/>
        </w:trPr>
        <w:tc>
          <w:tcPr>
            <w:tcW w:w="45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2024</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25 vs 24</w:t>
            </w: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20" w:type="dxa"/>
            <w:vAlign w:val="bottom"/>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0" w:type="dxa"/>
            <w:vAlign w:val="bottom"/>
          </w:tcPr>
          <w:p>
            <w:pPr>
              <w:jc w:val="right"/>
              <w:ind w:right="434"/>
              <w:spacing w:after="0"/>
              <w:rPr>
                <w:sz w:val="20"/>
                <w:szCs w:val="20"/>
                <w:color w:val="auto"/>
              </w:rPr>
            </w:pPr>
            <w:r>
              <w:rPr>
                <w:rFonts w:ascii="Times New Roman" w:cs="Times New Roman" w:eastAsia="Times New Roman" w:hAnsi="Times New Roman"/>
                <w:sz w:val="14"/>
                <w:szCs w:val="14"/>
                <w:color w:val="auto"/>
                <w:w w:val="92"/>
              </w:rPr>
              <w:t>2024</w:t>
            </w:r>
          </w:p>
        </w:tc>
      </w:tr>
      <w:tr>
        <w:trPr>
          <w:trHeight w:val="229"/>
        </w:trPr>
        <w:tc>
          <w:tcPr>
            <w:tcW w:w="45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West</w:t>
            </w:r>
          </w:p>
        </w:tc>
        <w:tc>
          <w:tcPr>
            <w:tcW w:w="740" w:type="dxa"/>
            <w:vAlign w:val="bottom"/>
            <w:tcBorders>
              <w:top w:val="single" w:sz="8" w:color="auto"/>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458</w:t>
            </w:r>
          </w:p>
        </w:tc>
        <w:tc>
          <w:tcPr>
            <w:tcW w:w="100" w:type="dxa"/>
            <w:vAlign w:val="bottom"/>
            <w:tcBorders>
              <w:top w:val="single" w:sz="8" w:color="CCEEFF"/>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w:t>
            </w:r>
          </w:p>
        </w:tc>
        <w:tc>
          <w:tcPr>
            <w:tcW w:w="10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(22.2)%</w:t>
            </w:r>
          </w:p>
        </w:tc>
        <w:tc>
          <w:tcPr>
            <w:tcW w:w="12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20.9 %</w:t>
            </w:r>
          </w:p>
        </w:tc>
        <w:tc>
          <w:tcPr>
            <w:tcW w:w="12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17.3 %</w:t>
            </w:r>
          </w:p>
        </w:tc>
      </w:tr>
      <w:tr>
        <w:trPr>
          <w:trHeight w:val="230"/>
        </w:trPr>
        <w:tc>
          <w:tcPr>
            <w:tcW w:w="5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East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176</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(22.5)%</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18.1 %</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13.7 %</w:t>
            </w:r>
          </w:p>
        </w:tc>
      </w:tr>
      <w:tr>
        <w:trPr>
          <w:trHeight w:val="229"/>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Southeast</w:t>
            </w:r>
          </w:p>
        </w:tc>
        <w:tc>
          <w:tcPr>
            <w:tcW w:w="74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129</w:t>
            </w:r>
          </w:p>
        </w:tc>
        <w:tc>
          <w:tcPr>
            <w:tcW w:w="100" w:type="dxa"/>
            <w:vAlign w:val="bottom"/>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11.2 %</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7.9 %</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17.7 %</w:t>
            </w:r>
          </w:p>
        </w:tc>
      </w:tr>
      <w:tr>
        <w:trPr>
          <w:trHeight w:val="223"/>
        </w:trPr>
        <w:tc>
          <w:tcPr>
            <w:tcW w:w="52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763</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932</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(18.1)%</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18.3 %</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16.5 %</w:t>
            </w:r>
          </w:p>
        </w:tc>
      </w:tr>
      <w:tr>
        <w:trPr>
          <w:trHeight w:val="20"/>
        </w:trPr>
        <w:tc>
          <w:tcPr>
            <w:tcW w:w="45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bl>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December 31, 2025 as compared to 2024</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new orders for the quarter ended December 31, 2025 decreased to 763, down 18.1% from the quarter ended December 31, 2024. The decrease in net new orders compared to the prior year quarter was driven by a 21.1% decrease in sales pace from 1.9 orders per community per month in the prior year quarter to 1.5, partially offset by a 3.7% increase in average active community count from 161 in the prior year quarter to 167.</w:t>
      </w:r>
    </w:p>
    <w:p>
      <w:pPr>
        <w:spacing w:after="0" w:line="12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West Segment: </w:t>
      </w:r>
      <w:r>
        <w:rPr>
          <w:rFonts w:ascii="Times New Roman" w:cs="Times New Roman" w:eastAsia="Times New Roman" w:hAnsi="Times New Roman"/>
          <w:sz w:val="18"/>
          <w:szCs w:val="18"/>
          <w:color w:val="auto"/>
        </w:rPr>
        <w:t>Net new orders for the quarter ended December 31, 2025 decreased to 458, down 22.2% from the quarter ended December 31, 2024.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decrease in net new orders compared to the prior year quarter was driven by a 25.6% decrease in sales pace from 1.9 orders per community per month in the prior year quarter to 1.4, partially offset by a 4.6% increase in average active community count from 102 in the prior year quarter to 107.</w:t>
      </w:r>
    </w:p>
    <w:p>
      <w:pPr>
        <w:spacing w:after="0" w:line="11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East Segment: </w:t>
      </w:r>
      <w:r>
        <w:rPr>
          <w:rFonts w:ascii="Times New Roman" w:cs="Times New Roman" w:eastAsia="Times New Roman" w:hAnsi="Times New Roman"/>
          <w:sz w:val="18"/>
          <w:szCs w:val="18"/>
          <w:color w:val="auto"/>
        </w:rPr>
        <w:t>Net new orders for the quarter ended December 31, 2025 decreased to 176, down 22.5% from the quarter ended December 31, 2024.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decrease in net new orders compared to the prior year quarter was driven by a 12.6% decrease in sales pace from 2.1 orders per community per month in the prior year quarter to 1.9 and an 11.3% decrease in average active community count from 35 in the prior year quarter to 31.</w:t>
      </w:r>
    </w:p>
    <w:p>
      <w:pPr>
        <w:spacing w:after="0" w:line="11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Southeast Segment: </w:t>
      </w:r>
      <w:r>
        <w:rPr>
          <w:rFonts w:ascii="Times New Roman" w:cs="Times New Roman" w:eastAsia="Times New Roman" w:hAnsi="Times New Roman"/>
          <w:sz w:val="18"/>
          <w:szCs w:val="18"/>
          <w:color w:val="auto"/>
        </w:rPr>
        <w:t>Net new orders for the quarter ended December 31, 2025 increased to 129, up 11.2% from the quarter ended December 31, 2024.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increase in net new orders compared to the prior year quarter was driven by a 22.5% increase in average active community count from 24 in the prior year quarter to 29, partially offset by a 9.2% decrease in sales pace from 1.6 orders per community per month in the prior year quarter to 1.5.</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table below summarizes backlog units by reportable segment as well as the aggregate dollar value and ASP of homes in backlog as of December 31, 2025 and 2024:</w:t>
      </w:r>
    </w:p>
    <w:p>
      <w:pPr>
        <w:spacing w:after="0" w:line="34"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7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3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3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color w:val="auto"/>
              </w:rPr>
              <w:t>2024</w:t>
            </w:r>
          </w:p>
        </w:tc>
        <w:tc>
          <w:tcPr>
            <w:tcW w:w="10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25 vs 24</w:t>
            </w:r>
          </w:p>
        </w:tc>
        <w:tc>
          <w:tcPr>
            <w:tcW w:w="0" w:type="dxa"/>
            <w:vAlign w:val="bottom"/>
          </w:tcPr>
          <w:p>
            <w:pPr>
              <w:spacing w:after="0"/>
              <w:rPr>
                <w:sz w:val="1"/>
                <w:szCs w:val="1"/>
                <w:color w:val="auto"/>
              </w:rPr>
            </w:pPr>
          </w:p>
        </w:tc>
      </w:tr>
      <w:tr>
        <w:trPr>
          <w:trHeight w:val="216"/>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Backlog Units:</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West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547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973</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(43.8)%</w:t>
            </w:r>
          </w:p>
        </w:tc>
        <w:tc>
          <w:tcPr>
            <w:tcW w:w="0" w:type="dxa"/>
            <w:vAlign w:val="bottom"/>
          </w:tcPr>
          <w:p>
            <w:pPr>
              <w:spacing w:after="0"/>
              <w:rPr>
                <w:sz w:val="1"/>
                <w:szCs w:val="1"/>
                <w:color w:val="auto"/>
              </w:rPr>
            </w:pPr>
          </w:p>
        </w:tc>
      </w:tr>
      <w:tr>
        <w:trPr>
          <w:trHeight w:val="230"/>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East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(33.4)%</w:t>
            </w:r>
          </w:p>
        </w:tc>
        <w:tc>
          <w:tcPr>
            <w:tcW w:w="0" w:type="dxa"/>
            <w:vAlign w:val="bottom"/>
          </w:tcPr>
          <w:p>
            <w:pPr>
              <w:spacing w:after="0"/>
              <w:rPr>
                <w:sz w:val="1"/>
                <w:szCs w:val="1"/>
                <w:color w:val="auto"/>
              </w:rPr>
            </w:pPr>
          </w:p>
        </w:tc>
      </w:tr>
      <w:tr>
        <w:trPr>
          <w:trHeight w:val="230"/>
        </w:trPr>
        <w:tc>
          <w:tcPr>
            <w:tcW w:w="7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Southeast</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234</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100" w:type="dxa"/>
            <w:vAlign w:val="bottom"/>
            <w:tcBorders>
              <w:bottom w:val="single" w:sz="8" w:color="CCEEFF"/>
            </w:tcBorders>
          </w:tcPr>
          <w:p>
            <w:pPr>
              <w:spacing w:after="0"/>
              <w:rPr>
                <w:sz w:val="19"/>
                <w:szCs w:val="19"/>
                <w:color w:val="auto"/>
              </w:rPr>
            </w:pPr>
          </w:p>
        </w:tc>
        <w:tc>
          <w:tcPr>
            <w:tcW w:w="13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21.2 %</w:t>
            </w:r>
          </w:p>
        </w:tc>
        <w:tc>
          <w:tcPr>
            <w:tcW w:w="0" w:type="dxa"/>
            <w:vAlign w:val="bottom"/>
          </w:tcPr>
          <w:p>
            <w:pPr>
              <w:spacing w:after="0"/>
              <w:rPr>
                <w:sz w:val="1"/>
                <w:szCs w:val="1"/>
                <w:color w:val="auto"/>
              </w:rPr>
            </w:pPr>
          </w:p>
        </w:tc>
      </w:tr>
      <w:tr>
        <w:trPr>
          <w:trHeight w:val="248"/>
        </w:trPr>
        <w:tc>
          <w:tcPr>
            <w:tcW w:w="73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1,507</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(33.1)%</w:t>
            </w:r>
          </w:p>
        </w:tc>
        <w:tc>
          <w:tcPr>
            <w:tcW w:w="0" w:type="dxa"/>
            <w:vAlign w:val="bottom"/>
          </w:tcPr>
          <w:p>
            <w:pPr>
              <w:spacing w:after="0"/>
              <w:rPr>
                <w:sz w:val="1"/>
                <w:szCs w:val="1"/>
                <w:color w:val="auto"/>
              </w:rPr>
            </w:pPr>
          </w:p>
        </w:tc>
      </w:tr>
      <w:tr>
        <w:trPr>
          <w:trHeight w:val="20"/>
        </w:trPr>
        <w:tc>
          <w:tcPr>
            <w:tcW w:w="73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Aggregate dollar value of homes in backlog (in millions)</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(29.7)%</w:t>
            </w:r>
          </w:p>
        </w:tc>
        <w:tc>
          <w:tcPr>
            <w:tcW w:w="0" w:type="dxa"/>
            <w:vAlign w:val="bottom"/>
          </w:tcPr>
          <w:p>
            <w:pPr>
              <w:spacing w:after="0" w:line="20" w:lineRule="exact"/>
              <w:rPr>
                <w:sz w:val="1"/>
                <w:szCs w:val="1"/>
                <w:color w:val="auto"/>
              </w:rPr>
            </w:pPr>
          </w:p>
        </w:tc>
      </w:tr>
      <w:tr>
        <w:trPr>
          <w:trHeight w:val="203"/>
        </w:trPr>
        <w:tc>
          <w:tcPr>
            <w:tcW w:w="7340" w:type="dxa"/>
            <w:vAlign w:val="bottom"/>
            <w:vMerge w:val="continue"/>
          </w:tcPr>
          <w:p>
            <w:pPr>
              <w:spacing w:after="0"/>
              <w:rPr>
                <w:sz w:val="17"/>
                <w:szCs w:val="17"/>
                <w:color w:val="auto"/>
              </w:rPr>
            </w:pPr>
          </w:p>
        </w:tc>
        <w:tc>
          <w:tcPr>
            <w:tcW w:w="260" w:type="dxa"/>
            <w:vAlign w:val="bottom"/>
          </w:tcPr>
          <w:p>
            <w:pPr>
              <w:jc w:val="right"/>
              <w:ind w:right="70"/>
              <w:spacing w:after="0" w:line="203"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573.3</w:t>
            </w:r>
          </w:p>
        </w:tc>
        <w:tc>
          <w:tcPr>
            <w:tcW w:w="100" w:type="dxa"/>
            <w:vAlign w:val="bottom"/>
          </w:tcPr>
          <w:p>
            <w:pPr>
              <w:spacing w:after="0"/>
              <w:rPr>
                <w:sz w:val="17"/>
                <w:szCs w:val="17"/>
                <w:color w:val="auto"/>
              </w:rPr>
            </w:pPr>
          </w:p>
        </w:tc>
        <w:tc>
          <w:tcPr>
            <w:tcW w:w="280" w:type="dxa"/>
            <w:vAlign w:val="bottom"/>
          </w:tcPr>
          <w:p>
            <w:pPr>
              <w:jc w:val="right"/>
              <w:ind w:right="96"/>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816.0</w:t>
            </w:r>
          </w:p>
        </w:tc>
        <w:tc>
          <w:tcPr>
            <w:tcW w:w="100" w:type="dxa"/>
            <w:vAlign w:val="bottom"/>
          </w:tcPr>
          <w:p>
            <w:pPr>
              <w:spacing w:after="0"/>
              <w:rPr>
                <w:sz w:val="17"/>
                <w:szCs w:val="17"/>
                <w:color w:val="auto"/>
              </w:rPr>
            </w:pPr>
          </w:p>
        </w:tc>
        <w:tc>
          <w:tcPr>
            <w:tcW w:w="13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ASP in backlog (in thousands)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568.7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541.5</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5.0 %</w:t>
            </w: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Backlog reflects the number of homes for which the Company has entered into a sales contract with a customer but has not yet delivered the home. The decrease in backlog units was primarily due to beginning the fiscal quarter with fewer backlog units and year-over-year lower net new orders for the quarter ended December 31, 2025. The aggregate dollar value of homes in backlog as of December 31, 2025 decreased 29.7% compared to December 31, 2024 due to a 33.1% decrease in backlog units, partially offset by a 5.0% increase in the ASP of homes in backlog. The increase in backlog ASP compared to prior year quarter was primarily due to changes in product and community mix.</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Homebuilding Revenue, Average Selling Price, and Closings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summarizes homebuilding revenue, ASP of our homes closed, and closings by reportable segment for the periods presented:</w:t>
      </w:r>
    </w:p>
    <w:p>
      <w:pPr>
        <w:spacing w:after="0" w:line="57"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1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20" w:type="dxa"/>
            <w:vAlign w:val="bottom"/>
            <w:gridSpan w:val="9"/>
          </w:tcPr>
          <w:p>
            <w:pPr>
              <w:ind w:left="200"/>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3"/>
        </w:trPr>
        <w:tc>
          <w:tcPr>
            <w:tcW w:w="15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gridSpan w:val="6"/>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6"/>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90"/>
        </w:trPr>
        <w:tc>
          <w:tcPr>
            <w:tcW w:w="15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6"/>
          </w:tcPr>
          <w:p>
            <w:pPr>
              <w:ind w:left="680"/>
              <w:spacing w:after="0"/>
              <w:rPr>
                <w:sz w:val="20"/>
                <w:szCs w:val="20"/>
                <w:color w:val="auto"/>
              </w:rPr>
            </w:pPr>
            <w:r>
              <w:rPr>
                <w:rFonts w:ascii="Times New Roman" w:cs="Times New Roman" w:eastAsia="Times New Roman" w:hAnsi="Times New Roman"/>
                <w:sz w:val="14"/>
                <w:szCs w:val="14"/>
                <w:b w:val="1"/>
                <w:bCs w:val="1"/>
                <w:color w:val="auto"/>
              </w:rPr>
              <w:t>Homebuilding Revenue</w:t>
            </w:r>
          </w:p>
        </w:tc>
        <w:tc>
          <w:tcPr>
            <w:tcW w:w="8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6"/>
          </w:tcPr>
          <w:p>
            <w:pPr>
              <w:ind w:left="40"/>
              <w:spacing w:after="0"/>
              <w:rPr>
                <w:sz w:val="20"/>
                <w:szCs w:val="20"/>
                <w:color w:val="auto"/>
              </w:rPr>
            </w:pPr>
            <w:r>
              <w:rPr>
                <w:rFonts w:ascii="Times New Roman" w:cs="Times New Roman" w:eastAsia="Times New Roman" w:hAnsi="Times New Roman"/>
                <w:sz w:val="14"/>
                <w:szCs w:val="14"/>
                <w:b w:val="1"/>
                <w:bCs w:val="1"/>
                <w:color w:val="auto"/>
              </w:rPr>
              <w:t>Average Selling Price</w:t>
            </w:r>
          </w:p>
        </w:tc>
        <w:tc>
          <w:tcPr>
            <w:tcW w:w="8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4"/>
                <w:szCs w:val="14"/>
                <w:b w:val="1"/>
                <w:bCs w:val="1"/>
                <w:color w:val="auto"/>
              </w:rPr>
              <w:t>Closings</w:t>
            </w: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r>
      <w:tr>
        <w:trPr>
          <w:trHeight w:val="214"/>
        </w:trPr>
        <w:tc>
          <w:tcPr>
            <w:tcW w:w="1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41"/>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rPr>
              <w:t>2024</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25 vs 24</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81"/>
              <w:spacing w:after="0"/>
              <w:rPr>
                <w:sz w:val="20"/>
                <w:szCs w:val="20"/>
                <w:color w:val="auto"/>
              </w:rPr>
            </w:pPr>
            <w:r>
              <w:rPr>
                <w:rFonts w:ascii="Times New Roman" w:cs="Times New Roman" w:eastAsia="Times New Roman" w:hAnsi="Times New Roman"/>
                <w:sz w:val="16"/>
                <w:szCs w:val="16"/>
                <w:b w:val="1"/>
                <w:bCs w:val="1"/>
                <w:color w:val="auto"/>
              </w:rPr>
              <w:t>2025</w:t>
            </w: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rPr>
              <w:t>2024</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25 vs 24</w:t>
            </w:r>
          </w:p>
        </w:tc>
        <w:tc>
          <w:tcPr>
            <w:tcW w:w="10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jc w:val="right"/>
              <w:ind w:right="201"/>
              <w:spacing w:after="0"/>
              <w:rPr>
                <w:sz w:val="20"/>
                <w:szCs w:val="20"/>
                <w:color w:val="auto"/>
              </w:rPr>
            </w:pPr>
            <w:r>
              <w:rPr>
                <w:rFonts w:ascii="Times New Roman" w:cs="Times New Roman" w:eastAsia="Times New Roman" w:hAnsi="Times New Roman"/>
                <w:sz w:val="16"/>
                <w:szCs w:val="16"/>
                <w:color w:val="auto"/>
              </w:rPr>
              <w:t>2024</w:t>
            </w:r>
          </w:p>
        </w:tc>
        <w:tc>
          <w:tcPr>
            <w:tcW w:w="12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25 vs 24</w:t>
            </w:r>
          </w:p>
        </w:tc>
      </w:tr>
      <w:tr>
        <w:trPr>
          <w:trHeight w:val="211"/>
        </w:trPr>
        <w:tc>
          <w:tcPr>
            <w:tcW w:w="1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West</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220,209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291,863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(24.6)%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505.1</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502.3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0.6 %</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436</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581</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(25.0)%</w:t>
            </w:r>
          </w:p>
        </w:tc>
      </w:tr>
      <w:tr>
        <w:trPr>
          <w:trHeight w:val="214"/>
        </w:trPr>
        <w:tc>
          <w:tcPr>
            <w:tcW w:w="1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East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93,126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108,564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(14.2)%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526.1</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540.1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(2.6)%</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177</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(11.9)%</w:t>
            </w:r>
          </w:p>
        </w:tc>
      </w:tr>
      <w:tr>
        <w:trPr>
          <w:trHeight w:val="218"/>
        </w:trPr>
        <w:tc>
          <w:tcPr>
            <w:tcW w:w="1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Southeast</w:t>
            </w: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46,407</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59,995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(22.6)%</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533.4</w:t>
            </w:r>
          </w:p>
        </w:tc>
        <w:tc>
          <w:tcPr>
            <w:tcW w:w="4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480.0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11.1 %</w:t>
            </w:r>
          </w:p>
        </w:tc>
        <w:tc>
          <w:tcPr>
            <w:tcW w:w="10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87</w:t>
            </w:r>
          </w:p>
        </w:tc>
        <w:tc>
          <w:tcPr>
            <w:tcW w:w="10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(30.4)%</w:t>
            </w:r>
          </w:p>
        </w:tc>
      </w:tr>
      <w:tr>
        <w:trPr>
          <w:trHeight w:val="210"/>
        </w:trPr>
        <w:tc>
          <w:tcPr>
            <w:tcW w:w="15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Total</w:t>
            </w: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359,742</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460,422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(21.9)%</w:t>
            </w: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513.9</w:t>
            </w:r>
          </w:p>
        </w:tc>
        <w:tc>
          <w:tcPr>
            <w:tcW w:w="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507.6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1.2 %</w:t>
            </w:r>
          </w:p>
        </w:tc>
        <w:tc>
          <w:tcPr>
            <w:tcW w:w="100" w:type="dxa"/>
            <w:vAlign w:val="bottom"/>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700</w:t>
            </w:r>
          </w:p>
        </w:tc>
        <w:tc>
          <w:tcPr>
            <w:tcW w:w="100" w:type="dxa"/>
            <w:vAlign w:val="bottom"/>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907</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(22.8)%</w:t>
            </w:r>
          </w:p>
        </w:tc>
      </w:tr>
      <w:tr>
        <w:trPr>
          <w:trHeight w:val="20"/>
        </w:trPr>
        <w:tc>
          <w:tcPr>
            <w:tcW w:w="15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December 31, 2025 as compared to 2024</w:t>
      </w:r>
    </w:p>
    <w:p>
      <w:pPr>
        <w:spacing w:after="0" w:line="17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West Segment: </w:t>
      </w:r>
      <w:r>
        <w:rPr>
          <w:rFonts w:ascii="Times New Roman" w:cs="Times New Roman" w:eastAsia="Times New Roman" w:hAnsi="Times New Roman"/>
          <w:sz w:val="18"/>
          <w:szCs w:val="18"/>
          <w:color w:val="auto"/>
        </w:rPr>
        <w:t>Homebuilding revenue decreased by 24.6% for the three months ended December 31, 2025 compared to the prior year quarter due to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25.0% decrease in closings, partially offset by a 0.6% increase in ASP. The decrease in closings was primarily due to the lower beginning backlog compared to prior year quarter.</w:t>
      </w:r>
    </w:p>
    <w:p>
      <w:pPr>
        <w:spacing w:after="0" w:line="11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East Segment: </w:t>
      </w:r>
      <w:r>
        <w:rPr>
          <w:rFonts w:ascii="Times New Roman" w:cs="Times New Roman" w:eastAsia="Times New Roman" w:hAnsi="Times New Roman"/>
          <w:sz w:val="18"/>
          <w:szCs w:val="18"/>
          <w:color w:val="auto"/>
        </w:rPr>
        <w:t>Homebuilding revenue decreased by 14.2% for the three months ended December 31, 2025 compared to the prior year quarter due to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11.9% decrease in closings and a 2.6% decrease in ASP. The decrease in closings was primarily due to the lower beginning backlog compared to prior year quarter.</w:t>
      </w:r>
    </w:p>
    <w:p>
      <w:pPr>
        <w:spacing w:after="0" w:line="11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Southeast Segment: </w:t>
      </w:r>
      <w:r>
        <w:rPr>
          <w:rFonts w:ascii="Times New Roman" w:cs="Times New Roman" w:eastAsia="Times New Roman" w:hAnsi="Times New Roman"/>
          <w:sz w:val="18"/>
          <w:szCs w:val="18"/>
          <w:color w:val="auto"/>
        </w:rPr>
        <w:t>Homebuilding revenue decreased by 22.6% for the three months ended December 31, 2025 compared to the prior year quarter due to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30.4% decrease in closings, partially offset by an 11.1% increase in ASP. The decrease in closings was primarily due to lower beginning backlog compared to prior year quarter.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Homebuilding Gross Profit and Gross Margin</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following tables present our homebuilding (HB) gross profit and gross margin by reportable segment and Corporate and unallocated. In addition, such amounts are presented excluding inventory impairments and abandonments and interest amortized to cost of sales (COS). Homebuilding gross profit is defined as homebuilding revenue less home cost of sales (which includes land and land development costs, home construction costs, capitalized interest, indirect costs of construction, estimated warranty costs, closing costs, and inventory impairment and abandonment charges).</w:t>
      </w:r>
    </w:p>
    <w:p>
      <w:pPr>
        <w:spacing w:after="0" w:line="12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Reconciliation of homebuilding gross profit and homebuilding gross margin (GAAP measures) to homebuilding gross profit and the related gross margin excluding impairments and abandonments and interest amortized to cost of sales (non-GAAP measures) is provided for each period discussed below. Management believes that this information assists investors in comparing the operating characteristics of homebuilding activities by eliminating many of the differences in companies' respective level of impairments and level of debt. These non-GAAP financial measures may not be comparable to other similarly titled measures of other companies and should not be considered in isolation or as a substitute for, or superior to, financial measures prepared in accordance with GAAP.</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60" w:type="dxa"/>
            <w:vAlign w:val="bottom"/>
            <w:gridSpan w:val="8"/>
          </w:tcPr>
          <w:p>
            <w:pPr>
              <w:jc w:val="center"/>
              <w:ind w:left="908"/>
              <w:spacing w:after="0"/>
              <w:rPr>
                <w:sz w:val="20"/>
                <w:szCs w:val="20"/>
                <w:color w:val="auto"/>
              </w:rPr>
            </w:pPr>
            <w:r>
              <w:rPr>
                <w:rFonts w:ascii="Times New Roman" w:cs="Times New Roman" w:eastAsia="Times New Roman" w:hAnsi="Times New Roman"/>
                <w:sz w:val="14"/>
                <w:szCs w:val="14"/>
                <w:b w:val="1"/>
                <w:bCs w:val="1"/>
                <w:color w:val="auto"/>
              </w:rPr>
              <w:t>Three Months Ended December 31, 2025</w:t>
            </w: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5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1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jc w:val="center"/>
              <w:ind w:right="28"/>
              <w:spacing w:after="0" w:line="131" w:lineRule="exact"/>
              <w:rPr>
                <w:sz w:val="20"/>
                <w:szCs w:val="20"/>
                <w:color w:val="auto"/>
              </w:rPr>
            </w:pPr>
            <w:r>
              <w:rPr>
                <w:rFonts w:ascii="Times New Roman" w:cs="Times New Roman" w:eastAsia="Times New Roman" w:hAnsi="Times New Roman"/>
                <w:sz w:val="14"/>
                <w:szCs w:val="14"/>
                <w:b w:val="1"/>
                <w:bCs w:val="1"/>
                <w:color w:val="auto"/>
              </w:rPr>
              <w:t>HB Gross</w:t>
            </w:r>
          </w:p>
        </w:tc>
        <w:tc>
          <w:tcPr>
            <w:tcW w:w="100" w:type="dxa"/>
            <w:vAlign w:val="bottom"/>
          </w:tcPr>
          <w:p>
            <w:pPr>
              <w:spacing w:after="0"/>
              <w:rPr>
                <w:sz w:val="11"/>
                <w:szCs w:val="11"/>
                <w:color w:val="auto"/>
              </w:rPr>
            </w:pPr>
          </w:p>
        </w:tc>
        <w:tc>
          <w:tcPr>
            <w:tcW w:w="1280" w:type="dxa"/>
            <w:vAlign w:val="bottom"/>
            <w:gridSpan w:val="2"/>
          </w:tcPr>
          <w:p>
            <w:pPr>
              <w:jc w:val="center"/>
              <w:ind w:right="80"/>
              <w:spacing w:after="0" w:line="131" w:lineRule="exact"/>
              <w:rPr>
                <w:sz w:val="20"/>
                <w:szCs w:val="20"/>
                <w:color w:val="auto"/>
              </w:rPr>
            </w:pPr>
            <w:r>
              <w:rPr>
                <w:rFonts w:ascii="Times New Roman" w:cs="Times New Roman" w:eastAsia="Times New Roman" w:hAnsi="Times New Roman"/>
                <w:sz w:val="14"/>
                <w:szCs w:val="14"/>
                <w:b w:val="1"/>
                <w:bCs w:val="1"/>
                <w:color w:val="auto"/>
              </w:rPr>
              <w:t>HB Gross</w:t>
            </w: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gridSpan w:val="2"/>
          </w:tcPr>
          <w:p>
            <w:pPr>
              <w:ind w:left="20"/>
              <w:spacing w:after="0" w:line="131" w:lineRule="exact"/>
              <w:rPr>
                <w:sz w:val="20"/>
                <w:szCs w:val="20"/>
                <w:color w:val="auto"/>
              </w:rPr>
            </w:pPr>
            <w:r>
              <w:rPr>
                <w:rFonts w:ascii="Times New Roman" w:cs="Times New Roman" w:eastAsia="Times New Roman" w:hAnsi="Times New Roman"/>
                <w:sz w:val="14"/>
                <w:szCs w:val="14"/>
                <w:b w:val="1"/>
                <w:bCs w:val="1"/>
                <w:color w:val="auto"/>
              </w:rPr>
              <w:t>HB Gross Profit</w:t>
            </w:r>
          </w:p>
        </w:tc>
        <w:tc>
          <w:tcPr>
            <w:tcW w:w="120" w:type="dxa"/>
            <w:vAlign w:val="bottom"/>
          </w:tcPr>
          <w:p>
            <w:pPr>
              <w:spacing w:after="0"/>
              <w:rPr>
                <w:sz w:val="11"/>
                <w:szCs w:val="11"/>
                <w:color w:val="auto"/>
              </w:rPr>
            </w:pPr>
          </w:p>
        </w:tc>
        <w:tc>
          <w:tcPr>
            <w:tcW w:w="118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HB Gross Margin</w:t>
            </w:r>
          </w:p>
        </w:tc>
        <w:tc>
          <w:tcPr>
            <w:tcW w:w="0" w:type="dxa"/>
            <w:vAlign w:val="bottom"/>
          </w:tcPr>
          <w:p>
            <w:pPr>
              <w:spacing w:after="0"/>
              <w:rPr>
                <w:sz w:val="1"/>
                <w:szCs w:val="1"/>
                <w:color w:val="auto"/>
              </w:rPr>
            </w:pPr>
          </w:p>
        </w:tc>
      </w:tr>
      <w:tr>
        <w:trPr>
          <w:trHeight w:val="146"/>
        </w:trPr>
        <w:tc>
          <w:tcPr>
            <w:tcW w:w="1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vMerge w:val="restart"/>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Impairments &amp;</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jc w:val="center"/>
              <w:ind w:right="28"/>
              <w:spacing w:after="0" w:line="146" w:lineRule="exact"/>
              <w:rPr>
                <w:sz w:val="20"/>
                <w:szCs w:val="20"/>
                <w:color w:val="auto"/>
              </w:rPr>
            </w:pPr>
            <w:r>
              <w:rPr>
                <w:rFonts w:ascii="Times New Roman" w:cs="Times New Roman" w:eastAsia="Times New Roman" w:hAnsi="Times New Roman"/>
                <w:sz w:val="14"/>
                <w:szCs w:val="14"/>
                <w:b w:val="1"/>
                <w:bCs w:val="1"/>
                <w:color w:val="auto"/>
              </w:rPr>
              <w:t>Profit</w:t>
            </w:r>
          </w:p>
        </w:tc>
        <w:tc>
          <w:tcPr>
            <w:tcW w:w="100" w:type="dxa"/>
            <w:vAlign w:val="bottom"/>
          </w:tcPr>
          <w:p>
            <w:pPr>
              <w:spacing w:after="0"/>
              <w:rPr>
                <w:sz w:val="12"/>
                <w:szCs w:val="12"/>
                <w:color w:val="auto"/>
              </w:rPr>
            </w:pPr>
          </w:p>
        </w:tc>
        <w:tc>
          <w:tcPr>
            <w:tcW w:w="128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Margin</w:t>
            </w:r>
          </w:p>
        </w:tc>
        <w:tc>
          <w:tcPr>
            <w:tcW w:w="100" w:type="dxa"/>
            <w:vAlign w:val="bottom"/>
          </w:tcPr>
          <w:p>
            <w:pPr>
              <w:spacing w:after="0"/>
              <w:rPr>
                <w:sz w:val="12"/>
                <w:szCs w:val="12"/>
                <w:color w:val="auto"/>
              </w:rPr>
            </w:pPr>
          </w:p>
        </w:tc>
        <w:tc>
          <w:tcPr>
            <w:tcW w:w="108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80" w:type="dxa"/>
            <w:vAlign w:val="bottom"/>
          </w:tcPr>
          <w:p>
            <w:pPr>
              <w:spacing w:after="0"/>
              <w:rPr>
                <w:sz w:val="12"/>
                <w:szCs w:val="12"/>
                <w:color w:val="auto"/>
              </w:rPr>
            </w:pPr>
          </w:p>
        </w:tc>
        <w:tc>
          <w:tcPr>
            <w:tcW w:w="960" w:type="dxa"/>
            <w:vAlign w:val="bottom"/>
          </w:tcPr>
          <w:p>
            <w:pPr>
              <w:jc w:val="center"/>
              <w:ind w:right="8"/>
              <w:spacing w:after="0" w:line="146" w:lineRule="exact"/>
              <w:rPr>
                <w:sz w:val="20"/>
                <w:szCs w:val="20"/>
                <w:color w:val="auto"/>
              </w:rPr>
            </w:pPr>
            <w:r>
              <w:rPr>
                <w:rFonts w:ascii="Times New Roman" w:cs="Times New Roman" w:eastAsia="Times New Roman" w:hAnsi="Times New Roman"/>
                <w:sz w:val="14"/>
                <w:szCs w:val="14"/>
                <w:b w:val="1"/>
                <w:bCs w:val="1"/>
                <w:color w:val="auto"/>
              </w:rPr>
              <w:t>excluding</w:t>
            </w:r>
          </w:p>
        </w:tc>
        <w:tc>
          <w:tcPr>
            <w:tcW w:w="120" w:type="dxa"/>
            <w:vAlign w:val="bottom"/>
          </w:tcPr>
          <w:p>
            <w:pPr>
              <w:spacing w:after="0"/>
              <w:rPr>
                <w:sz w:val="12"/>
                <w:szCs w:val="12"/>
                <w:color w:val="auto"/>
              </w:rPr>
            </w:pPr>
          </w:p>
        </w:tc>
        <w:tc>
          <w:tcPr>
            <w:tcW w:w="118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excluding</w:t>
            </w:r>
          </w:p>
        </w:tc>
        <w:tc>
          <w:tcPr>
            <w:tcW w:w="0" w:type="dxa"/>
            <w:vAlign w:val="bottom"/>
          </w:tcPr>
          <w:p>
            <w:pPr>
              <w:spacing w:after="0"/>
              <w:rPr>
                <w:sz w:val="1"/>
                <w:szCs w:val="1"/>
                <w:color w:val="auto"/>
              </w:rPr>
            </w:pPr>
          </w:p>
        </w:tc>
      </w:tr>
      <w:tr>
        <w:trPr>
          <w:trHeight w:val="137"/>
        </w:trPr>
        <w:tc>
          <w:tcPr>
            <w:tcW w:w="1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vMerge w:val="restart"/>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HB Gross</w:t>
            </w:r>
          </w:p>
        </w:tc>
        <w:tc>
          <w:tcPr>
            <w:tcW w:w="120" w:type="dxa"/>
            <w:vAlign w:val="bottom"/>
          </w:tcPr>
          <w:p>
            <w:pPr>
              <w:spacing w:after="0"/>
              <w:rPr>
                <w:sz w:val="11"/>
                <w:szCs w:val="11"/>
                <w:color w:val="auto"/>
              </w:rPr>
            </w:pPr>
          </w:p>
        </w:tc>
        <w:tc>
          <w:tcPr>
            <w:tcW w:w="12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HB Gross</w:t>
            </w:r>
          </w:p>
        </w:tc>
        <w:tc>
          <w:tcPr>
            <w:tcW w:w="120" w:type="dxa"/>
            <w:vAlign w:val="bottom"/>
          </w:tcPr>
          <w:p>
            <w:pPr>
              <w:spacing w:after="0"/>
              <w:rPr>
                <w:sz w:val="11"/>
                <w:szCs w:val="11"/>
                <w:color w:val="auto"/>
              </w:rPr>
            </w:pPr>
          </w:p>
        </w:tc>
        <w:tc>
          <w:tcPr>
            <w:tcW w:w="110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jc w:val="center"/>
              <w:ind w:right="28"/>
              <w:spacing w:after="0" w:line="137" w:lineRule="exact"/>
              <w:rPr>
                <w:sz w:val="20"/>
                <w:szCs w:val="20"/>
                <w:color w:val="auto"/>
              </w:rPr>
            </w:pPr>
            <w:r>
              <w:rPr>
                <w:rFonts w:ascii="Times New Roman" w:cs="Times New Roman" w:eastAsia="Times New Roman" w:hAnsi="Times New Roman"/>
                <w:sz w:val="14"/>
                <w:szCs w:val="14"/>
                <w:b w:val="1"/>
                <w:bCs w:val="1"/>
                <w:color w:val="auto"/>
              </w:rPr>
              <w:t>excluding</w:t>
            </w:r>
          </w:p>
        </w:tc>
        <w:tc>
          <w:tcPr>
            <w:tcW w:w="100" w:type="dxa"/>
            <w:vAlign w:val="bottom"/>
          </w:tcPr>
          <w:p>
            <w:pPr>
              <w:spacing w:after="0"/>
              <w:rPr>
                <w:sz w:val="11"/>
                <w:szCs w:val="11"/>
                <w:color w:val="auto"/>
              </w:rPr>
            </w:pPr>
          </w:p>
        </w:tc>
        <w:tc>
          <w:tcPr>
            <w:tcW w:w="1280" w:type="dxa"/>
            <w:vAlign w:val="bottom"/>
            <w:gridSpan w:val="2"/>
          </w:tcPr>
          <w:p>
            <w:pPr>
              <w:jc w:val="center"/>
              <w:ind w:right="80"/>
              <w:spacing w:after="0" w:line="137" w:lineRule="exact"/>
              <w:rPr>
                <w:sz w:val="20"/>
                <w:szCs w:val="20"/>
                <w:color w:val="auto"/>
              </w:rPr>
            </w:pPr>
            <w:r>
              <w:rPr>
                <w:rFonts w:ascii="Times New Roman" w:cs="Times New Roman" w:eastAsia="Times New Roman" w:hAnsi="Times New Roman"/>
                <w:sz w:val="14"/>
                <w:szCs w:val="14"/>
                <w:b w:val="1"/>
                <w:bCs w:val="1"/>
                <w:color w:val="auto"/>
              </w:rPr>
              <w:t>excluding</w:t>
            </w:r>
          </w:p>
        </w:tc>
        <w:tc>
          <w:tcPr>
            <w:tcW w:w="100" w:type="dxa"/>
            <w:vAlign w:val="bottom"/>
          </w:tcPr>
          <w:p>
            <w:pPr>
              <w:spacing w:after="0"/>
              <w:rPr>
                <w:sz w:val="11"/>
                <w:szCs w:val="11"/>
                <w:color w:val="auto"/>
              </w:rPr>
            </w:pPr>
          </w:p>
        </w:tc>
        <w:tc>
          <w:tcPr>
            <w:tcW w:w="108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jc w:val="center"/>
              <w:ind w:right="28"/>
              <w:spacing w:after="0" w:line="137" w:lineRule="exact"/>
              <w:rPr>
                <w:sz w:val="20"/>
                <w:szCs w:val="20"/>
                <w:color w:val="auto"/>
              </w:rPr>
            </w:pPr>
            <w:r>
              <w:rPr>
                <w:rFonts w:ascii="Times New Roman" w:cs="Times New Roman" w:eastAsia="Times New Roman" w:hAnsi="Times New Roman"/>
                <w:sz w:val="14"/>
                <w:szCs w:val="14"/>
                <w:b w:val="1"/>
                <w:bCs w:val="1"/>
                <w:color w:val="auto"/>
              </w:rPr>
              <w:t>I&amp;A and</w:t>
            </w:r>
          </w:p>
        </w:tc>
        <w:tc>
          <w:tcPr>
            <w:tcW w:w="120" w:type="dxa"/>
            <w:vAlign w:val="bottom"/>
          </w:tcPr>
          <w:p>
            <w:pPr>
              <w:spacing w:after="0"/>
              <w:rPr>
                <w:sz w:val="11"/>
                <w:szCs w:val="11"/>
                <w:color w:val="auto"/>
              </w:rPr>
            </w:pPr>
          </w:p>
        </w:tc>
        <w:tc>
          <w:tcPr>
            <w:tcW w:w="118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I&amp;A and</w:t>
            </w:r>
          </w:p>
        </w:tc>
        <w:tc>
          <w:tcPr>
            <w:tcW w:w="0" w:type="dxa"/>
            <w:vAlign w:val="bottom"/>
          </w:tcPr>
          <w:p>
            <w:pPr>
              <w:spacing w:after="0"/>
              <w:rPr>
                <w:sz w:val="1"/>
                <w:szCs w:val="1"/>
                <w:color w:val="auto"/>
              </w:rPr>
            </w:pPr>
          </w:p>
        </w:tc>
      </w:tr>
      <w:tr>
        <w:trPr>
          <w:trHeight w:val="146"/>
        </w:trPr>
        <w:tc>
          <w:tcPr>
            <w:tcW w:w="152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16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jc w:val="center"/>
              <w:ind w:right="8"/>
              <w:spacing w:after="0" w:line="146" w:lineRule="exact"/>
              <w:rPr>
                <w:sz w:val="20"/>
                <w:szCs w:val="20"/>
                <w:color w:val="auto"/>
              </w:rPr>
            </w:pPr>
            <w:r>
              <w:rPr>
                <w:rFonts w:ascii="Times New Roman" w:cs="Times New Roman" w:eastAsia="Times New Roman" w:hAnsi="Times New Roman"/>
                <w:sz w:val="14"/>
                <w:szCs w:val="14"/>
                <w:b w:val="1"/>
                <w:bCs w:val="1"/>
                <w:color w:val="auto"/>
              </w:rPr>
              <w:t>Abandonments</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jc w:val="center"/>
              <w:ind w:right="68"/>
              <w:spacing w:after="0" w:line="146" w:lineRule="exact"/>
              <w:rPr>
                <w:sz w:val="20"/>
                <w:szCs w:val="20"/>
                <w:color w:val="auto"/>
              </w:rPr>
            </w:pPr>
            <w:r>
              <w:rPr>
                <w:rFonts w:ascii="Times New Roman" w:cs="Times New Roman" w:eastAsia="Times New Roman" w:hAnsi="Times New Roman"/>
                <w:sz w:val="14"/>
                <w:szCs w:val="14"/>
                <w:b w:val="1"/>
                <w:bCs w:val="1"/>
                <w:color w:val="auto"/>
              </w:rPr>
              <w:t>I&amp;A</w:t>
            </w:r>
          </w:p>
        </w:tc>
        <w:tc>
          <w:tcPr>
            <w:tcW w:w="100" w:type="dxa"/>
            <w:vAlign w:val="bottom"/>
          </w:tcPr>
          <w:p>
            <w:pPr>
              <w:spacing w:after="0"/>
              <w:rPr>
                <w:sz w:val="12"/>
                <w:szCs w:val="12"/>
                <w:color w:val="auto"/>
              </w:rPr>
            </w:pPr>
          </w:p>
        </w:tc>
        <w:tc>
          <w:tcPr>
            <w:tcW w:w="1280" w:type="dxa"/>
            <w:vAlign w:val="bottom"/>
            <w:gridSpan w:val="2"/>
          </w:tcPr>
          <w:p>
            <w:pPr>
              <w:jc w:val="center"/>
              <w:ind w:right="120"/>
              <w:spacing w:after="0" w:line="146" w:lineRule="exact"/>
              <w:rPr>
                <w:sz w:val="20"/>
                <w:szCs w:val="20"/>
                <w:color w:val="auto"/>
              </w:rPr>
            </w:pPr>
            <w:r>
              <w:rPr>
                <w:rFonts w:ascii="Times New Roman" w:cs="Times New Roman" w:eastAsia="Times New Roman" w:hAnsi="Times New Roman"/>
                <w:sz w:val="14"/>
                <w:szCs w:val="14"/>
                <w:b w:val="1"/>
                <w:bCs w:val="1"/>
                <w:color w:val="auto"/>
              </w:rPr>
              <w:t>I&amp;A</w:t>
            </w:r>
          </w:p>
        </w:tc>
        <w:tc>
          <w:tcPr>
            <w:tcW w:w="100" w:type="dxa"/>
            <w:vAlign w:val="bottom"/>
          </w:tcPr>
          <w:p>
            <w:pPr>
              <w:spacing w:after="0"/>
              <w:rPr>
                <w:sz w:val="12"/>
                <w:szCs w:val="12"/>
                <w:color w:val="auto"/>
              </w:rPr>
            </w:pPr>
          </w:p>
        </w:tc>
        <w:tc>
          <w:tcPr>
            <w:tcW w:w="1080" w:type="dxa"/>
            <w:vAlign w:val="bottom"/>
            <w:gridSpan w:val="2"/>
          </w:tcPr>
          <w:p>
            <w:pPr>
              <w:jc w:val="center"/>
              <w:ind w:right="200"/>
              <w:spacing w:after="0" w:line="146" w:lineRule="exact"/>
              <w:rPr>
                <w:sz w:val="20"/>
                <w:szCs w:val="20"/>
                <w:color w:val="auto"/>
              </w:rPr>
            </w:pPr>
            <w:r>
              <w:rPr>
                <w:rFonts w:ascii="Times New Roman" w:cs="Times New Roman" w:eastAsia="Times New Roman" w:hAnsi="Times New Roman"/>
                <w:sz w:val="14"/>
                <w:szCs w:val="14"/>
                <w:b w:val="1"/>
                <w:bCs w:val="1"/>
                <w:color w:val="auto"/>
              </w:rPr>
              <w:t>Amortized to</w:t>
            </w:r>
          </w:p>
        </w:tc>
        <w:tc>
          <w:tcPr>
            <w:tcW w:w="80" w:type="dxa"/>
            <w:vAlign w:val="bottom"/>
          </w:tcPr>
          <w:p>
            <w:pPr>
              <w:spacing w:after="0"/>
              <w:rPr>
                <w:sz w:val="12"/>
                <w:szCs w:val="12"/>
                <w:color w:val="auto"/>
              </w:rPr>
            </w:pPr>
          </w:p>
        </w:tc>
        <w:tc>
          <w:tcPr>
            <w:tcW w:w="960" w:type="dxa"/>
            <w:vAlign w:val="bottom"/>
          </w:tcPr>
          <w:p>
            <w:pPr>
              <w:jc w:val="center"/>
              <w:ind w:right="28"/>
              <w:spacing w:after="0" w:line="146" w:lineRule="exact"/>
              <w:rPr>
                <w:sz w:val="20"/>
                <w:szCs w:val="20"/>
                <w:color w:val="auto"/>
              </w:rPr>
            </w:pPr>
            <w:r>
              <w:rPr>
                <w:rFonts w:ascii="Times New Roman" w:cs="Times New Roman" w:eastAsia="Times New Roman" w:hAnsi="Times New Roman"/>
                <w:sz w:val="14"/>
                <w:szCs w:val="14"/>
                <w:b w:val="1"/>
                <w:bCs w:val="1"/>
                <w:color w:val="auto"/>
              </w:rPr>
              <w:t>Interest (Non-</w:t>
            </w:r>
          </w:p>
        </w:tc>
        <w:tc>
          <w:tcPr>
            <w:tcW w:w="120" w:type="dxa"/>
            <w:vAlign w:val="bottom"/>
          </w:tcPr>
          <w:p>
            <w:pPr>
              <w:spacing w:after="0"/>
              <w:rPr>
                <w:sz w:val="12"/>
                <w:szCs w:val="12"/>
                <w:color w:val="auto"/>
              </w:rPr>
            </w:pPr>
          </w:p>
        </w:tc>
        <w:tc>
          <w:tcPr>
            <w:tcW w:w="118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Interest (Non-</w:t>
            </w:r>
          </w:p>
        </w:tc>
        <w:tc>
          <w:tcPr>
            <w:tcW w:w="0" w:type="dxa"/>
            <w:vAlign w:val="bottom"/>
          </w:tcPr>
          <w:p>
            <w:pPr>
              <w:spacing w:after="0"/>
              <w:rPr>
                <w:sz w:val="1"/>
                <w:szCs w:val="1"/>
                <w:color w:val="auto"/>
              </w:rPr>
            </w:pPr>
          </w:p>
        </w:tc>
      </w:tr>
      <w:tr>
        <w:trPr>
          <w:trHeight w:val="198"/>
        </w:trPr>
        <w:tc>
          <w:tcPr>
            <w:tcW w:w="1520" w:type="dxa"/>
            <w:vAlign w:val="bottom"/>
            <w:vMerge w:val="continue"/>
          </w:tcPr>
          <w:p>
            <w:pPr>
              <w:spacing w:after="0"/>
              <w:rPr>
                <w:sz w:val="17"/>
                <w:szCs w:val="17"/>
                <w:color w:val="auto"/>
              </w:rPr>
            </w:pPr>
          </w:p>
        </w:tc>
        <w:tc>
          <w:tcPr>
            <w:tcW w:w="10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Profit (GAAP)</w:t>
            </w:r>
          </w:p>
        </w:tc>
        <w:tc>
          <w:tcPr>
            <w:tcW w:w="120" w:type="dxa"/>
            <w:vAlign w:val="bottom"/>
          </w:tcPr>
          <w:p>
            <w:pPr>
              <w:spacing w:after="0"/>
              <w:rPr>
                <w:sz w:val="17"/>
                <w:szCs w:val="17"/>
                <w:color w:val="auto"/>
              </w:rPr>
            </w:pPr>
          </w:p>
        </w:tc>
        <w:tc>
          <w:tcPr>
            <w:tcW w:w="12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Margin (GAAP)</w:t>
            </w:r>
          </w:p>
        </w:tc>
        <w:tc>
          <w:tcPr>
            <w:tcW w:w="120" w:type="dxa"/>
            <w:vAlign w:val="bottom"/>
          </w:tcPr>
          <w:p>
            <w:pPr>
              <w:spacing w:after="0"/>
              <w:rPr>
                <w:sz w:val="17"/>
                <w:szCs w:val="17"/>
                <w:color w:val="auto"/>
              </w:rPr>
            </w:pPr>
          </w:p>
        </w:tc>
        <w:tc>
          <w:tcPr>
            <w:tcW w:w="110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(I&amp;A)</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(Non-GAAP)</w:t>
            </w:r>
          </w:p>
        </w:tc>
        <w:tc>
          <w:tcPr>
            <w:tcW w:w="100" w:type="dxa"/>
            <w:vAlign w:val="bottom"/>
          </w:tcPr>
          <w:p>
            <w:pPr>
              <w:spacing w:after="0"/>
              <w:rPr>
                <w:sz w:val="17"/>
                <w:szCs w:val="17"/>
                <w:color w:val="auto"/>
              </w:rPr>
            </w:pPr>
          </w:p>
        </w:tc>
        <w:tc>
          <w:tcPr>
            <w:tcW w:w="12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(Non-GAAP)</w:t>
            </w:r>
          </w:p>
        </w:tc>
        <w:tc>
          <w:tcPr>
            <w:tcW w:w="118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COS (Interest)</w:t>
            </w:r>
          </w:p>
        </w:tc>
        <w:tc>
          <w:tcPr>
            <w:tcW w:w="80" w:type="dxa"/>
            <w:vAlign w:val="bottom"/>
          </w:tcPr>
          <w:p>
            <w:pPr>
              <w:spacing w:after="0"/>
              <w:rPr>
                <w:sz w:val="17"/>
                <w:szCs w:val="17"/>
                <w:color w:val="auto"/>
              </w:rPr>
            </w:pPr>
          </w:p>
        </w:tc>
        <w:tc>
          <w:tcPr>
            <w:tcW w:w="96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GAAP)</w:t>
            </w:r>
          </w:p>
        </w:tc>
        <w:tc>
          <w:tcPr>
            <w:tcW w:w="120" w:type="dxa"/>
            <w:vAlign w:val="bottom"/>
          </w:tcPr>
          <w:p>
            <w:pPr>
              <w:spacing w:after="0"/>
              <w:rPr>
                <w:sz w:val="17"/>
                <w:szCs w:val="17"/>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GAAP)</w:t>
            </w:r>
          </w:p>
        </w:tc>
        <w:tc>
          <w:tcPr>
            <w:tcW w:w="0" w:type="dxa"/>
            <w:vAlign w:val="bottom"/>
          </w:tcPr>
          <w:p>
            <w:pPr>
              <w:spacing w:after="0"/>
              <w:rPr>
                <w:sz w:val="1"/>
                <w:szCs w:val="1"/>
                <w:color w:val="auto"/>
              </w:rPr>
            </w:pPr>
          </w:p>
        </w:tc>
      </w:tr>
      <w:tr>
        <w:trPr>
          <w:trHeight w:val="201"/>
        </w:trPr>
        <w:tc>
          <w:tcPr>
            <w:tcW w:w="1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West</w:t>
            </w: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29,336</w:t>
            </w:r>
          </w:p>
        </w:tc>
        <w:tc>
          <w:tcPr>
            <w:tcW w:w="12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13.3 %</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1,304</w:t>
            </w:r>
          </w:p>
        </w:tc>
        <w:tc>
          <w:tcPr>
            <w:tcW w:w="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30,640</w:t>
            </w:r>
          </w:p>
        </w:tc>
        <w:tc>
          <w:tcPr>
            <w:tcW w:w="100" w:type="dxa"/>
            <w:vAlign w:val="bottom"/>
            <w:tcBorders>
              <w:top w:val="single" w:sz="8" w:color="CCEEFF"/>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13.9 %</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30,640</w:t>
            </w:r>
          </w:p>
        </w:tc>
        <w:tc>
          <w:tcPr>
            <w:tcW w:w="120" w:type="dxa"/>
            <w:vAlign w:val="bottom"/>
            <w:tcBorders>
              <w:top w:val="single" w:sz="8" w:color="CCEEFF"/>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13.9 %</w:t>
            </w:r>
          </w:p>
        </w:tc>
        <w:tc>
          <w:tcPr>
            <w:tcW w:w="0" w:type="dxa"/>
            <w:vAlign w:val="bottom"/>
          </w:tcPr>
          <w:p>
            <w:pPr>
              <w:spacing w:after="0"/>
              <w:rPr>
                <w:sz w:val="1"/>
                <w:szCs w:val="1"/>
                <w:color w:val="auto"/>
              </w:rPr>
            </w:pPr>
          </w:p>
        </w:tc>
      </w:tr>
      <w:tr>
        <w:trPr>
          <w:trHeight w:val="196"/>
        </w:trPr>
        <w:tc>
          <w:tcPr>
            <w:tcW w:w="15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East</w:t>
            </w:r>
          </w:p>
        </w:tc>
        <w:tc>
          <w:tcPr>
            <w:tcW w:w="1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13,702</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14.7 %</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21</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13,723</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14.7 %</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13,723</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14.7 %</w:t>
            </w:r>
          </w:p>
        </w:tc>
        <w:tc>
          <w:tcPr>
            <w:tcW w:w="0" w:type="dxa"/>
            <w:vAlign w:val="bottom"/>
          </w:tcPr>
          <w:p>
            <w:pPr>
              <w:spacing w:after="0"/>
              <w:rPr>
                <w:sz w:val="1"/>
                <w:szCs w:val="1"/>
                <w:color w:val="auto"/>
              </w:rPr>
            </w:pPr>
          </w:p>
        </w:tc>
      </w:tr>
      <w:tr>
        <w:trPr>
          <w:trHeight w:val="209"/>
        </w:trPr>
        <w:tc>
          <w:tcPr>
            <w:tcW w:w="1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Southeast</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6,745</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14.5 %</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6,745</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14.5 %</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6,745</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14.5 %</w:t>
            </w:r>
          </w:p>
        </w:tc>
        <w:tc>
          <w:tcPr>
            <w:tcW w:w="0" w:type="dxa"/>
            <w:vAlign w:val="bottom"/>
          </w:tcPr>
          <w:p>
            <w:pPr>
              <w:spacing w:after="0"/>
              <w:rPr>
                <w:sz w:val="1"/>
                <w:szCs w:val="1"/>
                <w:color w:val="auto"/>
              </w:rPr>
            </w:pPr>
          </w:p>
        </w:tc>
      </w:tr>
      <w:tr>
        <w:trPr>
          <w:trHeight w:val="135"/>
        </w:trPr>
        <w:tc>
          <w:tcPr>
            <w:tcW w:w="152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b w:val="1"/>
                <w:bCs w:val="1"/>
                <w:color w:val="auto"/>
              </w:rPr>
              <w:t>Corporate &amp;</w:t>
            </w: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3"/>
        </w:trPr>
        <w:tc>
          <w:tcPr>
            <w:tcW w:w="1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unallocated</w:t>
            </w:r>
            <w:r>
              <w:rPr>
                <w:rFonts w:ascii="Times New Roman" w:cs="Times New Roman" w:eastAsia="Times New Roman" w:hAnsi="Times New Roman"/>
                <w:sz w:val="18"/>
                <w:szCs w:val="18"/>
                <w:b w:val="1"/>
                <w:bCs w:val="1"/>
                <w:color w:val="auto"/>
                <w:vertAlign w:val="superscript"/>
              </w:rPr>
              <w:t>(a)</w:t>
            </w:r>
          </w:p>
        </w:tc>
        <w:tc>
          <w:tcPr>
            <w:tcW w:w="1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(12,367)</w:t>
            </w:r>
          </w:p>
        </w:tc>
        <w:tc>
          <w:tcPr>
            <w:tcW w:w="120" w:type="dxa"/>
            <w:vAlign w:val="bottom"/>
            <w:tcBorders>
              <w:bottom w:val="single" w:sz="8" w:color="CCEEFF"/>
            </w:tcBorders>
          </w:tcPr>
          <w:p>
            <w:pPr>
              <w:spacing w:after="0"/>
              <w:rPr>
                <w:sz w:val="21"/>
                <w:szCs w:val="21"/>
                <w:color w:val="auto"/>
              </w:rPr>
            </w:pPr>
          </w:p>
        </w:tc>
        <w:tc>
          <w:tcPr>
            <w:tcW w:w="116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(12,367)</w:t>
            </w:r>
          </w:p>
        </w:tc>
        <w:tc>
          <w:tcPr>
            <w:tcW w:w="100" w:type="dxa"/>
            <w:vAlign w:val="bottom"/>
            <w:tcBorders>
              <w:bottom w:val="single" w:sz="8" w:color="CCEEFF"/>
            </w:tcBorders>
          </w:tcPr>
          <w:p>
            <w:pPr>
              <w:spacing w:after="0"/>
              <w:rPr>
                <w:sz w:val="21"/>
                <w:szCs w:val="21"/>
                <w:color w:val="auto"/>
              </w:rPr>
            </w:pPr>
          </w:p>
        </w:tc>
        <w:tc>
          <w:tcPr>
            <w:tcW w:w="118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11,754</w:t>
            </w:r>
          </w:p>
        </w:tc>
        <w:tc>
          <w:tcPr>
            <w:tcW w:w="120" w:type="dxa"/>
            <w:vAlign w:val="bottom"/>
            <w:tcBorders>
              <w:bottom w:val="single" w:sz="8" w:color="CCEEFF"/>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(613)</w:t>
            </w:r>
          </w:p>
        </w:tc>
        <w:tc>
          <w:tcPr>
            <w:tcW w:w="120" w:type="dxa"/>
            <w:vAlign w:val="bottom"/>
            <w:tcBorders>
              <w:bottom w:val="single" w:sz="8" w:color="CCEEFF"/>
            </w:tcBorders>
          </w:tcPr>
          <w:p>
            <w:pPr>
              <w:spacing w:after="0"/>
              <w:rPr>
                <w:sz w:val="21"/>
                <w:szCs w:val="21"/>
                <w:color w:val="auto"/>
              </w:rPr>
            </w:pPr>
          </w:p>
        </w:tc>
        <w:tc>
          <w:tcPr>
            <w:tcW w:w="11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15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b w:val="1"/>
                <w:bCs w:val="1"/>
                <w:color w:val="auto"/>
              </w:rPr>
              <w:t>Total homebuilding</w:t>
            </w: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37,416</w:t>
            </w:r>
          </w:p>
        </w:tc>
        <w:tc>
          <w:tcPr>
            <w:tcW w:w="12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10.4 %</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1,325</w:t>
            </w:r>
          </w:p>
        </w:tc>
        <w:tc>
          <w:tcPr>
            <w:tcW w:w="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38,741</w:t>
            </w:r>
          </w:p>
        </w:tc>
        <w:tc>
          <w:tcPr>
            <w:tcW w:w="12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10.8 %</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11,754</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50,495</w:t>
            </w:r>
          </w:p>
        </w:tc>
        <w:tc>
          <w:tcPr>
            <w:tcW w:w="13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14.0 %</w:t>
            </w:r>
          </w:p>
        </w:tc>
        <w:tc>
          <w:tcPr>
            <w:tcW w:w="0" w:type="dxa"/>
            <w:vAlign w:val="bottom"/>
          </w:tcPr>
          <w:p>
            <w:pPr>
              <w:spacing w:after="0"/>
              <w:rPr>
                <w:sz w:val="1"/>
                <w:szCs w:val="1"/>
                <w:color w:val="auto"/>
              </w:rPr>
            </w:pPr>
          </w:p>
        </w:tc>
      </w:tr>
      <w:tr>
        <w:trPr>
          <w:trHeight w:val="20"/>
        </w:trPr>
        <w:tc>
          <w:tcPr>
            <w:tcW w:w="15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gridSpan w:val="2"/>
          </w:tcPr>
          <w:p>
            <w:pPr>
              <w:spacing w:after="0" w:line="20" w:lineRule="exact"/>
              <w:rPr>
                <w:sz w:val="1"/>
                <w:szCs w:val="1"/>
                <w:color w:val="auto"/>
              </w:rPr>
            </w:pPr>
          </w:p>
        </w:tc>
        <w:tc>
          <w:tcPr>
            <w:tcW w:w="1380" w:type="dxa"/>
            <w:vAlign w:val="bottom"/>
            <w:tcBorders>
              <w:top w:val="single" w:sz="8" w:color="CCEEFF"/>
            </w:tcBorders>
            <w:gridSpan w:val="3"/>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1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560" w:type="dxa"/>
            <w:vAlign w:val="bottom"/>
            <w:gridSpan w:val="7"/>
          </w:tcPr>
          <w:p>
            <w:pPr>
              <w:jc w:val="center"/>
              <w:ind w:right="120"/>
              <w:spacing w:after="0"/>
              <w:rPr>
                <w:sz w:val="20"/>
                <w:szCs w:val="20"/>
                <w:color w:val="auto"/>
              </w:rPr>
            </w:pPr>
            <w:r>
              <w:rPr>
                <w:rFonts w:ascii="Times New Roman" w:cs="Times New Roman" w:eastAsia="Times New Roman" w:hAnsi="Times New Roman"/>
                <w:sz w:val="14"/>
                <w:szCs w:val="14"/>
                <w:color w:val="auto"/>
              </w:rPr>
              <w:t>Three Months Ended December 31, 2024</w:t>
            </w: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15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1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jc w:val="center"/>
              <w:ind w:right="28"/>
              <w:spacing w:after="0" w:line="131" w:lineRule="exact"/>
              <w:rPr>
                <w:sz w:val="20"/>
                <w:szCs w:val="20"/>
                <w:color w:val="auto"/>
              </w:rPr>
            </w:pPr>
            <w:r>
              <w:rPr>
                <w:rFonts w:ascii="Times New Roman" w:cs="Times New Roman" w:eastAsia="Times New Roman" w:hAnsi="Times New Roman"/>
                <w:sz w:val="14"/>
                <w:szCs w:val="14"/>
                <w:b w:val="1"/>
                <w:bCs w:val="1"/>
                <w:color w:val="auto"/>
              </w:rPr>
              <w:t>HB Gross</w:t>
            </w:r>
          </w:p>
        </w:tc>
        <w:tc>
          <w:tcPr>
            <w:tcW w:w="100" w:type="dxa"/>
            <w:vAlign w:val="bottom"/>
          </w:tcPr>
          <w:p>
            <w:pPr>
              <w:spacing w:after="0"/>
              <w:rPr>
                <w:sz w:val="11"/>
                <w:szCs w:val="11"/>
                <w:color w:val="auto"/>
              </w:rPr>
            </w:pPr>
          </w:p>
        </w:tc>
        <w:tc>
          <w:tcPr>
            <w:tcW w:w="1280" w:type="dxa"/>
            <w:vAlign w:val="bottom"/>
            <w:gridSpan w:val="2"/>
          </w:tcPr>
          <w:p>
            <w:pPr>
              <w:jc w:val="center"/>
              <w:ind w:right="80"/>
              <w:spacing w:after="0" w:line="131" w:lineRule="exact"/>
              <w:rPr>
                <w:sz w:val="20"/>
                <w:szCs w:val="20"/>
                <w:color w:val="auto"/>
              </w:rPr>
            </w:pPr>
            <w:r>
              <w:rPr>
                <w:rFonts w:ascii="Times New Roman" w:cs="Times New Roman" w:eastAsia="Times New Roman" w:hAnsi="Times New Roman"/>
                <w:sz w:val="14"/>
                <w:szCs w:val="14"/>
                <w:b w:val="1"/>
                <w:bCs w:val="1"/>
                <w:color w:val="auto"/>
              </w:rPr>
              <w:t>HB Gross</w:t>
            </w: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gridSpan w:val="2"/>
          </w:tcPr>
          <w:p>
            <w:pPr>
              <w:ind w:left="20"/>
              <w:spacing w:after="0" w:line="131" w:lineRule="exact"/>
              <w:rPr>
                <w:sz w:val="20"/>
                <w:szCs w:val="20"/>
                <w:color w:val="auto"/>
              </w:rPr>
            </w:pPr>
            <w:r>
              <w:rPr>
                <w:rFonts w:ascii="Times New Roman" w:cs="Times New Roman" w:eastAsia="Times New Roman" w:hAnsi="Times New Roman"/>
                <w:sz w:val="14"/>
                <w:szCs w:val="14"/>
                <w:b w:val="1"/>
                <w:bCs w:val="1"/>
                <w:color w:val="auto"/>
              </w:rPr>
              <w:t>HB Gross Profit</w:t>
            </w:r>
          </w:p>
        </w:tc>
        <w:tc>
          <w:tcPr>
            <w:tcW w:w="120" w:type="dxa"/>
            <w:vAlign w:val="bottom"/>
          </w:tcPr>
          <w:p>
            <w:pPr>
              <w:spacing w:after="0"/>
              <w:rPr>
                <w:sz w:val="11"/>
                <w:szCs w:val="11"/>
                <w:color w:val="auto"/>
              </w:rPr>
            </w:pPr>
          </w:p>
        </w:tc>
        <w:tc>
          <w:tcPr>
            <w:tcW w:w="118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HB Gross Margin</w:t>
            </w:r>
          </w:p>
        </w:tc>
        <w:tc>
          <w:tcPr>
            <w:tcW w:w="0" w:type="dxa"/>
            <w:vAlign w:val="bottom"/>
          </w:tcPr>
          <w:p>
            <w:pPr>
              <w:spacing w:after="0"/>
              <w:rPr>
                <w:sz w:val="1"/>
                <w:szCs w:val="1"/>
                <w:color w:val="auto"/>
              </w:rPr>
            </w:pPr>
          </w:p>
        </w:tc>
      </w:tr>
      <w:tr>
        <w:trPr>
          <w:trHeight w:val="146"/>
        </w:trPr>
        <w:tc>
          <w:tcPr>
            <w:tcW w:w="1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vMerge w:val="restart"/>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Impairments &amp;</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jc w:val="center"/>
              <w:ind w:right="28"/>
              <w:spacing w:after="0" w:line="146" w:lineRule="exact"/>
              <w:rPr>
                <w:sz w:val="20"/>
                <w:szCs w:val="20"/>
                <w:color w:val="auto"/>
              </w:rPr>
            </w:pPr>
            <w:r>
              <w:rPr>
                <w:rFonts w:ascii="Times New Roman" w:cs="Times New Roman" w:eastAsia="Times New Roman" w:hAnsi="Times New Roman"/>
                <w:sz w:val="14"/>
                <w:szCs w:val="14"/>
                <w:b w:val="1"/>
                <w:bCs w:val="1"/>
                <w:color w:val="auto"/>
              </w:rPr>
              <w:t>Profit</w:t>
            </w:r>
          </w:p>
        </w:tc>
        <w:tc>
          <w:tcPr>
            <w:tcW w:w="100" w:type="dxa"/>
            <w:vAlign w:val="bottom"/>
          </w:tcPr>
          <w:p>
            <w:pPr>
              <w:spacing w:after="0"/>
              <w:rPr>
                <w:sz w:val="12"/>
                <w:szCs w:val="12"/>
                <w:color w:val="auto"/>
              </w:rPr>
            </w:pPr>
          </w:p>
        </w:tc>
        <w:tc>
          <w:tcPr>
            <w:tcW w:w="128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Margin</w:t>
            </w:r>
          </w:p>
        </w:tc>
        <w:tc>
          <w:tcPr>
            <w:tcW w:w="100" w:type="dxa"/>
            <w:vAlign w:val="bottom"/>
          </w:tcPr>
          <w:p>
            <w:pPr>
              <w:spacing w:after="0"/>
              <w:rPr>
                <w:sz w:val="12"/>
                <w:szCs w:val="12"/>
                <w:color w:val="auto"/>
              </w:rPr>
            </w:pPr>
          </w:p>
        </w:tc>
        <w:tc>
          <w:tcPr>
            <w:tcW w:w="108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80" w:type="dxa"/>
            <w:vAlign w:val="bottom"/>
          </w:tcPr>
          <w:p>
            <w:pPr>
              <w:spacing w:after="0"/>
              <w:rPr>
                <w:sz w:val="12"/>
                <w:szCs w:val="12"/>
                <w:color w:val="auto"/>
              </w:rPr>
            </w:pPr>
          </w:p>
        </w:tc>
        <w:tc>
          <w:tcPr>
            <w:tcW w:w="960" w:type="dxa"/>
            <w:vAlign w:val="bottom"/>
          </w:tcPr>
          <w:p>
            <w:pPr>
              <w:jc w:val="center"/>
              <w:ind w:right="8"/>
              <w:spacing w:after="0" w:line="146" w:lineRule="exact"/>
              <w:rPr>
                <w:sz w:val="20"/>
                <w:szCs w:val="20"/>
                <w:color w:val="auto"/>
              </w:rPr>
            </w:pPr>
            <w:r>
              <w:rPr>
                <w:rFonts w:ascii="Times New Roman" w:cs="Times New Roman" w:eastAsia="Times New Roman" w:hAnsi="Times New Roman"/>
                <w:sz w:val="14"/>
                <w:szCs w:val="14"/>
                <w:b w:val="1"/>
                <w:bCs w:val="1"/>
                <w:color w:val="auto"/>
              </w:rPr>
              <w:t>excluding</w:t>
            </w:r>
          </w:p>
        </w:tc>
        <w:tc>
          <w:tcPr>
            <w:tcW w:w="120" w:type="dxa"/>
            <w:vAlign w:val="bottom"/>
          </w:tcPr>
          <w:p>
            <w:pPr>
              <w:spacing w:after="0"/>
              <w:rPr>
                <w:sz w:val="12"/>
                <w:szCs w:val="12"/>
                <w:color w:val="auto"/>
              </w:rPr>
            </w:pPr>
          </w:p>
        </w:tc>
        <w:tc>
          <w:tcPr>
            <w:tcW w:w="118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excluding</w:t>
            </w:r>
          </w:p>
        </w:tc>
        <w:tc>
          <w:tcPr>
            <w:tcW w:w="0" w:type="dxa"/>
            <w:vAlign w:val="bottom"/>
          </w:tcPr>
          <w:p>
            <w:pPr>
              <w:spacing w:after="0"/>
              <w:rPr>
                <w:sz w:val="1"/>
                <w:szCs w:val="1"/>
                <w:color w:val="auto"/>
              </w:rPr>
            </w:pPr>
          </w:p>
        </w:tc>
      </w:tr>
      <w:tr>
        <w:trPr>
          <w:trHeight w:val="137"/>
        </w:trPr>
        <w:tc>
          <w:tcPr>
            <w:tcW w:w="1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vMerge w:val="restart"/>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HB Gross</w:t>
            </w:r>
          </w:p>
        </w:tc>
        <w:tc>
          <w:tcPr>
            <w:tcW w:w="120" w:type="dxa"/>
            <w:vAlign w:val="bottom"/>
          </w:tcPr>
          <w:p>
            <w:pPr>
              <w:spacing w:after="0"/>
              <w:rPr>
                <w:sz w:val="11"/>
                <w:szCs w:val="11"/>
                <w:color w:val="auto"/>
              </w:rPr>
            </w:pPr>
          </w:p>
        </w:tc>
        <w:tc>
          <w:tcPr>
            <w:tcW w:w="12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HB Gross</w:t>
            </w:r>
          </w:p>
        </w:tc>
        <w:tc>
          <w:tcPr>
            <w:tcW w:w="120" w:type="dxa"/>
            <w:vAlign w:val="bottom"/>
          </w:tcPr>
          <w:p>
            <w:pPr>
              <w:spacing w:after="0"/>
              <w:rPr>
                <w:sz w:val="11"/>
                <w:szCs w:val="11"/>
                <w:color w:val="auto"/>
              </w:rPr>
            </w:pPr>
          </w:p>
        </w:tc>
        <w:tc>
          <w:tcPr>
            <w:tcW w:w="110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jc w:val="center"/>
              <w:ind w:right="28"/>
              <w:spacing w:after="0" w:line="137" w:lineRule="exact"/>
              <w:rPr>
                <w:sz w:val="20"/>
                <w:szCs w:val="20"/>
                <w:color w:val="auto"/>
              </w:rPr>
            </w:pPr>
            <w:r>
              <w:rPr>
                <w:rFonts w:ascii="Times New Roman" w:cs="Times New Roman" w:eastAsia="Times New Roman" w:hAnsi="Times New Roman"/>
                <w:sz w:val="14"/>
                <w:szCs w:val="14"/>
                <w:b w:val="1"/>
                <w:bCs w:val="1"/>
                <w:color w:val="auto"/>
              </w:rPr>
              <w:t>excluding</w:t>
            </w:r>
          </w:p>
        </w:tc>
        <w:tc>
          <w:tcPr>
            <w:tcW w:w="100" w:type="dxa"/>
            <w:vAlign w:val="bottom"/>
          </w:tcPr>
          <w:p>
            <w:pPr>
              <w:spacing w:after="0"/>
              <w:rPr>
                <w:sz w:val="11"/>
                <w:szCs w:val="11"/>
                <w:color w:val="auto"/>
              </w:rPr>
            </w:pPr>
          </w:p>
        </w:tc>
        <w:tc>
          <w:tcPr>
            <w:tcW w:w="1280" w:type="dxa"/>
            <w:vAlign w:val="bottom"/>
            <w:gridSpan w:val="2"/>
          </w:tcPr>
          <w:p>
            <w:pPr>
              <w:jc w:val="center"/>
              <w:ind w:right="80"/>
              <w:spacing w:after="0" w:line="137" w:lineRule="exact"/>
              <w:rPr>
                <w:sz w:val="20"/>
                <w:szCs w:val="20"/>
                <w:color w:val="auto"/>
              </w:rPr>
            </w:pPr>
            <w:r>
              <w:rPr>
                <w:rFonts w:ascii="Times New Roman" w:cs="Times New Roman" w:eastAsia="Times New Roman" w:hAnsi="Times New Roman"/>
                <w:sz w:val="14"/>
                <w:szCs w:val="14"/>
                <w:b w:val="1"/>
                <w:bCs w:val="1"/>
                <w:color w:val="auto"/>
              </w:rPr>
              <w:t>excluding</w:t>
            </w:r>
          </w:p>
        </w:tc>
        <w:tc>
          <w:tcPr>
            <w:tcW w:w="100" w:type="dxa"/>
            <w:vAlign w:val="bottom"/>
          </w:tcPr>
          <w:p>
            <w:pPr>
              <w:spacing w:after="0"/>
              <w:rPr>
                <w:sz w:val="11"/>
                <w:szCs w:val="11"/>
                <w:color w:val="auto"/>
              </w:rPr>
            </w:pPr>
          </w:p>
        </w:tc>
        <w:tc>
          <w:tcPr>
            <w:tcW w:w="108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jc w:val="center"/>
              <w:ind w:right="28"/>
              <w:spacing w:after="0" w:line="137" w:lineRule="exact"/>
              <w:rPr>
                <w:sz w:val="20"/>
                <w:szCs w:val="20"/>
                <w:color w:val="auto"/>
              </w:rPr>
            </w:pPr>
            <w:r>
              <w:rPr>
                <w:rFonts w:ascii="Times New Roman" w:cs="Times New Roman" w:eastAsia="Times New Roman" w:hAnsi="Times New Roman"/>
                <w:sz w:val="14"/>
                <w:szCs w:val="14"/>
                <w:b w:val="1"/>
                <w:bCs w:val="1"/>
                <w:color w:val="auto"/>
              </w:rPr>
              <w:t>I&amp;A and</w:t>
            </w:r>
          </w:p>
        </w:tc>
        <w:tc>
          <w:tcPr>
            <w:tcW w:w="120" w:type="dxa"/>
            <w:vAlign w:val="bottom"/>
          </w:tcPr>
          <w:p>
            <w:pPr>
              <w:spacing w:after="0"/>
              <w:rPr>
                <w:sz w:val="11"/>
                <w:szCs w:val="11"/>
                <w:color w:val="auto"/>
              </w:rPr>
            </w:pPr>
          </w:p>
        </w:tc>
        <w:tc>
          <w:tcPr>
            <w:tcW w:w="118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I&amp;A and</w:t>
            </w:r>
          </w:p>
        </w:tc>
        <w:tc>
          <w:tcPr>
            <w:tcW w:w="0" w:type="dxa"/>
            <w:vAlign w:val="bottom"/>
          </w:tcPr>
          <w:p>
            <w:pPr>
              <w:spacing w:after="0"/>
              <w:rPr>
                <w:sz w:val="1"/>
                <w:szCs w:val="1"/>
                <w:color w:val="auto"/>
              </w:rPr>
            </w:pPr>
          </w:p>
        </w:tc>
      </w:tr>
      <w:tr>
        <w:trPr>
          <w:trHeight w:val="146"/>
        </w:trPr>
        <w:tc>
          <w:tcPr>
            <w:tcW w:w="152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16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jc w:val="center"/>
              <w:ind w:right="8"/>
              <w:spacing w:after="0" w:line="146" w:lineRule="exact"/>
              <w:rPr>
                <w:sz w:val="20"/>
                <w:szCs w:val="20"/>
                <w:color w:val="auto"/>
              </w:rPr>
            </w:pPr>
            <w:r>
              <w:rPr>
                <w:rFonts w:ascii="Times New Roman" w:cs="Times New Roman" w:eastAsia="Times New Roman" w:hAnsi="Times New Roman"/>
                <w:sz w:val="14"/>
                <w:szCs w:val="14"/>
                <w:b w:val="1"/>
                <w:bCs w:val="1"/>
                <w:color w:val="auto"/>
              </w:rPr>
              <w:t>Abandonments</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jc w:val="center"/>
              <w:ind w:right="68"/>
              <w:spacing w:after="0" w:line="146" w:lineRule="exact"/>
              <w:rPr>
                <w:sz w:val="20"/>
                <w:szCs w:val="20"/>
                <w:color w:val="auto"/>
              </w:rPr>
            </w:pPr>
            <w:r>
              <w:rPr>
                <w:rFonts w:ascii="Times New Roman" w:cs="Times New Roman" w:eastAsia="Times New Roman" w:hAnsi="Times New Roman"/>
                <w:sz w:val="14"/>
                <w:szCs w:val="14"/>
                <w:b w:val="1"/>
                <w:bCs w:val="1"/>
                <w:color w:val="auto"/>
              </w:rPr>
              <w:t>I&amp;A</w:t>
            </w:r>
          </w:p>
        </w:tc>
        <w:tc>
          <w:tcPr>
            <w:tcW w:w="100" w:type="dxa"/>
            <w:vAlign w:val="bottom"/>
          </w:tcPr>
          <w:p>
            <w:pPr>
              <w:spacing w:after="0"/>
              <w:rPr>
                <w:sz w:val="12"/>
                <w:szCs w:val="12"/>
                <w:color w:val="auto"/>
              </w:rPr>
            </w:pPr>
          </w:p>
        </w:tc>
        <w:tc>
          <w:tcPr>
            <w:tcW w:w="1280" w:type="dxa"/>
            <w:vAlign w:val="bottom"/>
            <w:gridSpan w:val="2"/>
          </w:tcPr>
          <w:p>
            <w:pPr>
              <w:jc w:val="center"/>
              <w:ind w:right="120"/>
              <w:spacing w:after="0" w:line="146" w:lineRule="exact"/>
              <w:rPr>
                <w:sz w:val="20"/>
                <w:szCs w:val="20"/>
                <w:color w:val="auto"/>
              </w:rPr>
            </w:pPr>
            <w:r>
              <w:rPr>
                <w:rFonts w:ascii="Times New Roman" w:cs="Times New Roman" w:eastAsia="Times New Roman" w:hAnsi="Times New Roman"/>
                <w:sz w:val="14"/>
                <w:szCs w:val="14"/>
                <w:b w:val="1"/>
                <w:bCs w:val="1"/>
                <w:color w:val="auto"/>
              </w:rPr>
              <w:t>I&amp;A</w:t>
            </w:r>
          </w:p>
        </w:tc>
        <w:tc>
          <w:tcPr>
            <w:tcW w:w="100" w:type="dxa"/>
            <w:vAlign w:val="bottom"/>
          </w:tcPr>
          <w:p>
            <w:pPr>
              <w:spacing w:after="0"/>
              <w:rPr>
                <w:sz w:val="12"/>
                <w:szCs w:val="12"/>
                <w:color w:val="auto"/>
              </w:rPr>
            </w:pPr>
          </w:p>
        </w:tc>
        <w:tc>
          <w:tcPr>
            <w:tcW w:w="1080" w:type="dxa"/>
            <w:vAlign w:val="bottom"/>
            <w:gridSpan w:val="2"/>
          </w:tcPr>
          <w:p>
            <w:pPr>
              <w:jc w:val="center"/>
              <w:ind w:right="200"/>
              <w:spacing w:after="0" w:line="146" w:lineRule="exact"/>
              <w:rPr>
                <w:sz w:val="20"/>
                <w:szCs w:val="20"/>
                <w:color w:val="auto"/>
              </w:rPr>
            </w:pPr>
            <w:r>
              <w:rPr>
                <w:rFonts w:ascii="Times New Roman" w:cs="Times New Roman" w:eastAsia="Times New Roman" w:hAnsi="Times New Roman"/>
                <w:sz w:val="14"/>
                <w:szCs w:val="14"/>
                <w:b w:val="1"/>
                <w:bCs w:val="1"/>
                <w:color w:val="auto"/>
              </w:rPr>
              <w:t>Amortized to</w:t>
            </w:r>
          </w:p>
        </w:tc>
        <w:tc>
          <w:tcPr>
            <w:tcW w:w="80" w:type="dxa"/>
            <w:vAlign w:val="bottom"/>
          </w:tcPr>
          <w:p>
            <w:pPr>
              <w:spacing w:after="0"/>
              <w:rPr>
                <w:sz w:val="12"/>
                <w:szCs w:val="12"/>
                <w:color w:val="auto"/>
              </w:rPr>
            </w:pPr>
          </w:p>
        </w:tc>
        <w:tc>
          <w:tcPr>
            <w:tcW w:w="960" w:type="dxa"/>
            <w:vAlign w:val="bottom"/>
          </w:tcPr>
          <w:p>
            <w:pPr>
              <w:jc w:val="center"/>
              <w:ind w:right="28"/>
              <w:spacing w:after="0" w:line="146" w:lineRule="exact"/>
              <w:rPr>
                <w:sz w:val="20"/>
                <w:szCs w:val="20"/>
                <w:color w:val="auto"/>
              </w:rPr>
            </w:pPr>
            <w:r>
              <w:rPr>
                <w:rFonts w:ascii="Times New Roman" w:cs="Times New Roman" w:eastAsia="Times New Roman" w:hAnsi="Times New Roman"/>
                <w:sz w:val="14"/>
                <w:szCs w:val="14"/>
                <w:b w:val="1"/>
                <w:bCs w:val="1"/>
                <w:color w:val="auto"/>
              </w:rPr>
              <w:t>Interest (Non-</w:t>
            </w:r>
          </w:p>
        </w:tc>
        <w:tc>
          <w:tcPr>
            <w:tcW w:w="120" w:type="dxa"/>
            <w:vAlign w:val="bottom"/>
          </w:tcPr>
          <w:p>
            <w:pPr>
              <w:spacing w:after="0"/>
              <w:rPr>
                <w:sz w:val="12"/>
                <w:szCs w:val="12"/>
                <w:color w:val="auto"/>
              </w:rPr>
            </w:pPr>
          </w:p>
        </w:tc>
        <w:tc>
          <w:tcPr>
            <w:tcW w:w="118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Interest (Non-</w:t>
            </w:r>
          </w:p>
        </w:tc>
        <w:tc>
          <w:tcPr>
            <w:tcW w:w="0" w:type="dxa"/>
            <w:vAlign w:val="bottom"/>
          </w:tcPr>
          <w:p>
            <w:pPr>
              <w:spacing w:after="0"/>
              <w:rPr>
                <w:sz w:val="1"/>
                <w:szCs w:val="1"/>
                <w:color w:val="auto"/>
              </w:rPr>
            </w:pPr>
          </w:p>
        </w:tc>
      </w:tr>
      <w:tr>
        <w:trPr>
          <w:trHeight w:val="198"/>
        </w:trPr>
        <w:tc>
          <w:tcPr>
            <w:tcW w:w="1520" w:type="dxa"/>
            <w:vAlign w:val="bottom"/>
            <w:vMerge w:val="continue"/>
          </w:tcPr>
          <w:p>
            <w:pPr>
              <w:spacing w:after="0"/>
              <w:rPr>
                <w:sz w:val="17"/>
                <w:szCs w:val="17"/>
                <w:color w:val="auto"/>
              </w:rPr>
            </w:pPr>
          </w:p>
        </w:tc>
        <w:tc>
          <w:tcPr>
            <w:tcW w:w="10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Profit (GAAP)</w:t>
            </w:r>
          </w:p>
        </w:tc>
        <w:tc>
          <w:tcPr>
            <w:tcW w:w="120" w:type="dxa"/>
            <w:vAlign w:val="bottom"/>
          </w:tcPr>
          <w:p>
            <w:pPr>
              <w:spacing w:after="0"/>
              <w:rPr>
                <w:sz w:val="17"/>
                <w:szCs w:val="17"/>
                <w:color w:val="auto"/>
              </w:rPr>
            </w:pPr>
          </w:p>
        </w:tc>
        <w:tc>
          <w:tcPr>
            <w:tcW w:w="12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Margin (GAAP)</w:t>
            </w:r>
          </w:p>
        </w:tc>
        <w:tc>
          <w:tcPr>
            <w:tcW w:w="120" w:type="dxa"/>
            <w:vAlign w:val="bottom"/>
          </w:tcPr>
          <w:p>
            <w:pPr>
              <w:spacing w:after="0"/>
              <w:rPr>
                <w:sz w:val="17"/>
                <w:szCs w:val="17"/>
                <w:color w:val="auto"/>
              </w:rPr>
            </w:pPr>
          </w:p>
        </w:tc>
        <w:tc>
          <w:tcPr>
            <w:tcW w:w="110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(I&amp;A)</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(Non-GAAP)</w:t>
            </w:r>
          </w:p>
        </w:tc>
        <w:tc>
          <w:tcPr>
            <w:tcW w:w="100" w:type="dxa"/>
            <w:vAlign w:val="bottom"/>
          </w:tcPr>
          <w:p>
            <w:pPr>
              <w:spacing w:after="0"/>
              <w:rPr>
                <w:sz w:val="17"/>
                <w:szCs w:val="17"/>
                <w:color w:val="auto"/>
              </w:rPr>
            </w:pPr>
          </w:p>
        </w:tc>
        <w:tc>
          <w:tcPr>
            <w:tcW w:w="12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(Non-GAAP)</w:t>
            </w:r>
          </w:p>
        </w:tc>
        <w:tc>
          <w:tcPr>
            <w:tcW w:w="118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COS (Interest)</w:t>
            </w:r>
          </w:p>
        </w:tc>
        <w:tc>
          <w:tcPr>
            <w:tcW w:w="80" w:type="dxa"/>
            <w:vAlign w:val="bottom"/>
          </w:tcPr>
          <w:p>
            <w:pPr>
              <w:spacing w:after="0"/>
              <w:rPr>
                <w:sz w:val="17"/>
                <w:szCs w:val="17"/>
                <w:color w:val="auto"/>
              </w:rPr>
            </w:pPr>
          </w:p>
        </w:tc>
        <w:tc>
          <w:tcPr>
            <w:tcW w:w="96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GAAP)</w:t>
            </w:r>
          </w:p>
        </w:tc>
        <w:tc>
          <w:tcPr>
            <w:tcW w:w="120" w:type="dxa"/>
            <w:vAlign w:val="bottom"/>
          </w:tcPr>
          <w:p>
            <w:pPr>
              <w:spacing w:after="0"/>
              <w:rPr>
                <w:sz w:val="17"/>
                <w:szCs w:val="17"/>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GAAP)</w:t>
            </w:r>
          </w:p>
        </w:tc>
        <w:tc>
          <w:tcPr>
            <w:tcW w:w="0" w:type="dxa"/>
            <w:vAlign w:val="bottom"/>
          </w:tcPr>
          <w:p>
            <w:pPr>
              <w:spacing w:after="0"/>
              <w:rPr>
                <w:sz w:val="1"/>
                <w:szCs w:val="1"/>
                <w:color w:val="auto"/>
              </w:rPr>
            </w:pPr>
          </w:p>
        </w:tc>
      </w:tr>
      <w:tr>
        <w:trPr>
          <w:trHeight w:val="201"/>
        </w:trPr>
        <w:tc>
          <w:tcPr>
            <w:tcW w:w="1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West</w:t>
            </w: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53,308</w:t>
            </w:r>
          </w:p>
        </w:tc>
        <w:tc>
          <w:tcPr>
            <w:tcW w:w="12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18.3 %</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53,308</w:t>
            </w:r>
          </w:p>
        </w:tc>
        <w:tc>
          <w:tcPr>
            <w:tcW w:w="100" w:type="dxa"/>
            <w:vAlign w:val="bottom"/>
            <w:tcBorders>
              <w:top w:val="single" w:sz="8" w:color="CCEEFF"/>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18.3 %</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53,308</w:t>
            </w:r>
          </w:p>
        </w:tc>
        <w:tc>
          <w:tcPr>
            <w:tcW w:w="120" w:type="dxa"/>
            <w:vAlign w:val="bottom"/>
            <w:tcBorders>
              <w:top w:val="single" w:sz="8" w:color="CCEEFF"/>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18.3 %</w:t>
            </w:r>
          </w:p>
        </w:tc>
        <w:tc>
          <w:tcPr>
            <w:tcW w:w="0" w:type="dxa"/>
            <w:vAlign w:val="bottom"/>
          </w:tcPr>
          <w:p>
            <w:pPr>
              <w:spacing w:after="0"/>
              <w:rPr>
                <w:sz w:val="1"/>
                <w:szCs w:val="1"/>
                <w:color w:val="auto"/>
              </w:rPr>
            </w:pPr>
          </w:p>
        </w:tc>
      </w:tr>
      <w:tr>
        <w:trPr>
          <w:trHeight w:val="195"/>
        </w:trPr>
        <w:tc>
          <w:tcPr>
            <w:tcW w:w="1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East</w:t>
            </w:r>
          </w:p>
        </w:tc>
        <w:tc>
          <w:tcPr>
            <w:tcW w:w="1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16,373</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15.1 %</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16,373</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15.1 %</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16,373</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15.1 %</w:t>
            </w:r>
          </w:p>
        </w:tc>
        <w:tc>
          <w:tcPr>
            <w:tcW w:w="0" w:type="dxa"/>
            <w:vAlign w:val="bottom"/>
          </w:tcPr>
          <w:p>
            <w:pPr>
              <w:spacing w:after="0"/>
              <w:rPr>
                <w:sz w:val="1"/>
                <w:szCs w:val="1"/>
                <w:color w:val="auto"/>
              </w:rPr>
            </w:pPr>
          </w:p>
        </w:tc>
      </w:tr>
      <w:tr>
        <w:trPr>
          <w:trHeight w:val="210"/>
        </w:trPr>
        <w:tc>
          <w:tcPr>
            <w:tcW w:w="1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Southeast</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9,653</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16.1 %</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9,653</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16.1 %</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9,653</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16.1 %</w:t>
            </w:r>
          </w:p>
        </w:tc>
        <w:tc>
          <w:tcPr>
            <w:tcW w:w="0" w:type="dxa"/>
            <w:vAlign w:val="bottom"/>
          </w:tcPr>
          <w:p>
            <w:pPr>
              <w:spacing w:after="0"/>
              <w:rPr>
                <w:sz w:val="1"/>
                <w:szCs w:val="1"/>
                <w:color w:val="auto"/>
              </w:rPr>
            </w:pPr>
          </w:p>
        </w:tc>
      </w:tr>
      <w:tr>
        <w:trPr>
          <w:trHeight w:val="136"/>
        </w:trPr>
        <w:tc>
          <w:tcPr>
            <w:tcW w:w="1520" w:type="dxa"/>
            <w:vAlign w:val="bottom"/>
          </w:tcPr>
          <w:p>
            <w:pPr>
              <w:ind w:left="20"/>
              <w:spacing w:after="0" w:line="136" w:lineRule="exact"/>
              <w:rPr>
                <w:sz w:val="20"/>
                <w:szCs w:val="20"/>
                <w:color w:val="auto"/>
              </w:rPr>
            </w:pPr>
            <w:r>
              <w:rPr>
                <w:rFonts w:ascii="Times New Roman" w:cs="Times New Roman" w:eastAsia="Times New Roman" w:hAnsi="Times New Roman"/>
                <w:sz w:val="14"/>
                <w:szCs w:val="14"/>
                <w:color w:val="auto"/>
              </w:rPr>
              <w:t>Corporate &amp;</w:t>
            </w: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2"/>
        </w:trPr>
        <w:tc>
          <w:tcPr>
            <w:tcW w:w="1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unallocated</w:t>
            </w:r>
            <w:r>
              <w:rPr>
                <w:rFonts w:ascii="Times New Roman" w:cs="Times New Roman" w:eastAsia="Times New Roman" w:hAnsi="Times New Roman"/>
                <w:sz w:val="18"/>
                <w:szCs w:val="18"/>
                <w:color w:val="auto"/>
                <w:vertAlign w:val="superscript"/>
              </w:rPr>
              <w:t>(a)</w:t>
            </w:r>
          </w:p>
        </w:tc>
        <w:tc>
          <w:tcPr>
            <w:tcW w:w="1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(9,359)</w:t>
            </w:r>
          </w:p>
        </w:tc>
        <w:tc>
          <w:tcPr>
            <w:tcW w:w="120" w:type="dxa"/>
            <w:vAlign w:val="bottom"/>
            <w:tcBorders>
              <w:bottom w:val="single" w:sz="8" w:color="CCEEFF"/>
            </w:tcBorders>
          </w:tcPr>
          <w:p>
            <w:pPr>
              <w:spacing w:after="0"/>
              <w:rPr>
                <w:sz w:val="21"/>
                <w:szCs w:val="21"/>
                <w:color w:val="auto"/>
              </w:rPr>
            </w:pPr>
          </w:p>
        </w:tc>
        <w:tc>
          <w:tcPr>
            <w:tcW w:w="116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(9,359)</w:t>
            </w:r>
          </w:p>
        </w:tc>
        <w:tc>
          <w:tcPr>
            <w:tcW w:w="100" w:type="dxa"/>
            <w:vAlign w:val="bottom"/>
            <w:tcBorders>
              <w:bottom w:val="single" w:sz="8" w:color="CCEEFF"/>
            </w:tcBorders>
          </w:tcPr>
          <w:p>
            <w:pPr>
              <w:spacing w:after="0"/>
              <w:rPr>
                <w:sz w:val="21"/>
                <w:szCs w:val="21"/>
                <w:color w:val="auto"/>
              </w:rPr>
            </w:pPr>
          </w:p>
        </w:tc>
        <w:tc>
          <w:tcPr>
            <w:tcW w:w="118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13,910</w:t>
            </w:r>
          </w:p>
        </w:tc>
        <w:tc>
          <w:tcPr>
            <w:tcW w:w="120" w:type="dxa"/>
            <w:vAlign w:val="bottom"/>
            <w:tcBorders>
              <w:bottom w:val="single" w:sz="8" w:color="CCEEFF"/>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4,551</w:t>
            </w:r>
          </w:p>
        </w:tc>
        <w:tc>
          <w:tcPr>
            <w:tcW w:w="120" w:type="dxa"/>
            <w:vAlign w:val="bottom"/>
            <w:tcBorders>
              <w:bottom w:val="single" w:sz="8" w:color="CCEEFF"/>
            </w:tcBorders>
          </w:tcPr>
          <w:p>
            <w:pPr>
              <w:spacing w:after="0"/>
              <w:rPr>
                <w:sz w:val="21"/>
                <w:szCs w:val="21"/>
                <w:color w:val="auto"/>
              </w:rPr>
            </w:pPr>
          </w:p>
        </w:tc>
        <w:tc>
          <w:tcPr>
            <w:tcW w:w="11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15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Total homebuilding</w:t>
            </w: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69,975</w:t>
            </w:r>
          </w:p>
        </w:tc>
        <w:tc>
          <w:tcPr>
            <w:tcW w:w="12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15.2 %</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69,975</w:t>
            </w:r>
          </w:p>
        </w:tc>
        <w:tc>
          <w:tcPr>
            <w:tcW w:w="12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15.2 %</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13,910</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83,885</w:t>
            </w:r>
          </w:p>
        </w:tc>
        <w:tc>
          <w:tcPr>
            <w:tcW w:w="13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18.2 %</w:t>
            </w:r>
          </w:p>
        </w:tc>
        <w:tc>
          <w:tcPr>
            <w:tcW w:w="0" w:type="dxa"/>
            <w:vAlign w:val="bottom"/>
          </w:tcPr>
          <w:p>
            <w:pPr>
              <w:spacing w:after="0"/>
              <w:rPr>
                <w:sz w:val="1"/>
                <w:szCs w:val="1"/>
                <w:color w:val="auto"/>
              </w:rPr>
            </w:pPr>
          </w:p>
        </w:tc>
      </w:tr>
      <w:tr>
        <w:trPr>
          <w:trHeight w:val="20"/>
        </w:trPr>
        <w:tc>
          <w:tcPr>
            <w:tcW w:w="15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6" w:lineRule="exact"/>
        <w:rPr>
          <w:sz w:val="20"/>
          <w:szCs w:val="20"/>
          <w:color w:val="auto"/>
        </w:rPr>
      </w:pPr>
    </w:p>
    <w:p>
      <w:pPr>
        <w:ind w:left="180" w:right="640" w:hanging="172"/>
        <w:spacing w:after="0" w:line="239" w:lineRule="auto"/>
        <w:tabs>
          <w:tab w:leader="none" w:pos="192" w:val="left"/>
        </w:tabs>
        <w:numPr>
          <w:ilvl w:val="0"/>
          <w:numId w:val="2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Corporate and unallocated includes amortization of capitalized interest, capitalization and amortization of indirect costs related to homebuilding activities, as well as capitalized interest and capitalized indirect costs impaired in order to reflect projects in progress assets at fair value, when applicable. For the three months ended December 31, 2025, Corporate and unallocated also included a litigation-related charge that reduced total homebuilding gross margin, excluding impairments, abandonments, and interest, by 1.8%.</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December 31, 2025 as compared to 2024</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homebuilding gross profit decreased by $32.6 million to $37.4 million for the three months ended December 31, 2025, compared to $70.0 million in the prior year quarter. The decrease in homebuilding gross profit compared to the prior year quarter was primarily due to a decrease in homebuilding revenue of $100.7 million and a decrease in gross margin of 480 basis points to 10.4%. As shown in the tables above, the comparability of our gross profit and gross margin was impacted by impairment and abandonment charges, which increased by $1.3 million, and interest amortized to homebuilding cost of sales, which decreased by $2.2 million compared to the prior year quarter (refer to Note 4 and Note 5 of the notes to the condensed consolidated financial statements in this Form 10-Q for additional details). When excluding the impact of impairment and abandonment charges and interest amortized to homebuilding cost of sales, homebuilding gross profit decreased by $33.4 million compared to the prior year quarter, while homebuilding gross margin decreased by 420 basis points to 14.0%. The decrease in gross margin for the three months ended December 31, 2025 compared to the prior year quarter was due to an increase in price concessions and closing cost incentives, changes in product and community mix, and a litigation-related charge recognized in Corporate and unallocated during the quarter ended December 31, 2025 (refer to Note 8 of the notes to the condensed consolidated financial statements included in this Form 10-Q for further discussion). The litigation-related charge charge reduced homebuilding gross margin, excluding impairments, abandonments, and interest, by 1.8%.</w:t>
      </w:r>
    </w:p>
    <w:p>
      <w:pPr>
        <w:spacing w:after="0" w:line="134"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West Segment: </w:t>
      </w:r>
      <w:r>
        <w:rPr>
          <w:rFonts w:ascii="Times New Roman" w:cs="Times New Roman" w:eastAsia="Times New Roman" w:hAnsi="Times New Roman"/>
          <w:sz w:val="18"/>
          <w:szCs w:val="18"/>
          <w:color w:val="auto"/>
        </w:rPr>
        <w:t>Compared to the prior year quarter, homebuilding gross profit decreased by $24.0 million due to a decrease in homebuilding revenue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lower gross margin. Homebuilding gross margin, excluding impairments and abandonments, decreased to 13.9%, down from 18.3% in the prior year quarter, primarily due to an increase in price concessions and closing cost incentives.</w:t>
      </w:r>
    </w:p>
    <w:p>
      <w:pPr>
        <w:spacing w:after="0" w:line="11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East Segment: </w:t>
      </w:r>
      <w:r>
        <w:rPr>
          <w:rFonts w:ascii="Times New Roman" w:cs="Times New Roman" w:eastAsia="Times New Roman" w:hAnsi="Times New Roman"/>
          <w:sz w:val="18"/>
          <w:szCs w:val="18"/>
          <w:color w:val="auto"/>
        </w:rPr>
        <w:t>Compared to the prior year quarter, homebuilding gross profit decreased by $2.7 million due to a decrease in homebuilding revenue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lower gross margin. Homebuilding gross margin, excluding impairments and abandonments, decreased to 14.7%, down from 15.1% in the prior year quarter, primarily due to an increase in price concessions, closing cost incentives, and changes in product and community mix.</w:t>
      </w:r>
    </w:p>
    <w:p>
      <w:pPr>
        <w:spacing w:after="0" w:line="11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Southeast Segment: </w:t>
      </w:r>
      <w:r>
        <w:rPr>
          <w:rFonts w:ascii="Times New Roman" w:cs="Times New Roman" w:eastAsia="Times New Roman" w:hAnsi="Times New Roman"/>
          <w:sz w:val="18"/>
          <w:szCs w:val="18"/>
          <w:color w:val="auto"/>
        </w:rPr>
        <w:t>Compared to the prior year quarter, homebuilding gross profit decreased by $2.9 million due to a decrease in homebuilding revenue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lower gross margin. Homebuilding gross margin, excluding impairments and abandonments, decreased to 14.5%, down from 16.1% in the prior year quarter, primarily due to an increase in price concessions and changes in product and community mix.</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Measures of homebuilding gross profit and gross margin after excluding inventory impairments and abandonments, interest amortized to cost of sales, and other non-recurring items are non-GAAP financial measures. These measures should not be considered alternatives to homebuilding gross profit and gross margin determined in accordance with GAAP as an indicator of operating performance.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Land Sales and Other Revenue and Gross Profit</w:t>
      </w:r>
    </w:p>
    <w:p>
      <w:pPr>
        <w:spacing w:after="0" w:line="17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Land sales relate to land and lots sold that do not fit within our homebuilding programs or strategic plans. We also have other revenue related to title examinations provided for our homebuyers in certain markets. The following tables summarize our land sales and other revenue and related gross profit by reportable segment and Corporate and unallocated for the periods presented:</w:t>
      </w:r>
    </w:p>
    <w:p>
      <w:pPr>
        <w:spacing w:after="0" w:line="2"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4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60" w:type="dxa"/>
            <w:vAlign w:val="bottom"/>
            <w:gridSpan w:val="8"/>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Land Sales and Other Revenue</w:t>
            </w:r>
          </w:p>
        </w:tc>
        <w:tc>
          <w:tcPr>
            <w:tcW w:w="200" w:type="dxa"/>
            <w:vAlign w:val="bottom"/>
          </w:tcPr>
          <w:p>
            <w:pPr>
              <w:spacing w:after="0"/>
              <w:rPr>
                <w:sz w:val="16"/>
                <w:szCs w:val="16"/>
                <w:color w:val="auto"/>
              </w:rPr>
            </w:pPr>
          </w:p>
        </w:tc>
        <w:tc>
          <w:tcPr>
            <w:tcW w:w="2960" w:type="dxa"/>
            <w:vAlign w:val="bottom"/>
            <w:gridSpan w:val="7"/>
          </w:tcPr>
          <w:p>
            <w:pPr>
              <w:jc w:val="center"/>
              <w:ind w:right="121"/>
              <w:spacing w:after="0"/>
              <w:rPr>
                <w:sz w:val="20"/>
                <w:szCs w:val="20"/>
                <w:color w:val="auto"/>
              </w:rPr>
            </w:pPr>
            <w:r>
              <w:rPr>
                <w:rFonts w:ascii="Times New Roman" w:cs="Times New Roman" w:eastAsia="Times New Roman" w:hAnsi="Times New Roman"/>
                <w:sz w:val="14"/>
                <w:szCs w:val="14"/>
                <w:b w:val="1"/>
                <w:bCs w:val="1"/>
                <w:color w:val="auto"/>
              </w:rPr>
              <w:t>Land Sales and Other Gross Profit (Loss)</w:t>
            </w:r>
          </w:p>
        </w:tc>
      </w:tr>
      <w:tr>
        <w:trPr>
          <w:trHeight w:val="23"/>
        </w:trPr>
        <w:tc>
          <w:tcPr>
            <w:tcW w:w="4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60" w:type="dxa"/>
            <w:vAlign w:val="bottom"/>
            <w:gridSpan w:val="8"/>
          </w:tcPr>
          <w:p>
            <w:pPr>
              <w:spacing w:after="0"/>
              <w:rPr>
                <w:sz w:val="2"/>
                <w:szCs w:val="2"/>
                <w:color w:val="auto"/>
              </w:rPr>
            </w:pPr>
          </w:p>
        </w:tc>
        <w:tc>
          <w:tcPr>
            <w:tcW w:w="200" w:type="dxa"/>
            <w:vAlign w:val="bottom"/>
          </w:tcPr>
          <w:p>
            <w:pPr>
              <w:spacing w:after="0"/>
              <w:rPr>
                <w:sz w:val="2"/>
                <w:szCs w:val="2"/>
                <w:color w:val="auto"/>
              </w:rPr>
            </w:pPr>
          </w:p>
        </w:tc>
        <w:tc>
          <w:tcPr>
            <w:tcW w:w="2960" w:type="dxa"/>
            <w:vAlign w:val="bottom"/>
            <w:gridSpan w:val="7"/>
          </w:tcPr>
          <w:p>
            <w:pPr>
              <w:spacing w:after="0"/>
              <w:rPr>
                <w:sz w:val="2"/>
                <w:szCs w:val="2"/>
                <w:color w:val="auto"/>
              </w:rPr>
            </w:pPr>
          </w:p>
        </w:tc>
      </w:tr>
      <w:tr>
        <w:trPr>
          <w:trHeight w:val="190"/>
        </w:trPr>
        <w:tc>
          <w:tcPr>
            <w:tcW w:w="4760" w:type="dxa"/>
            <w:vAlign w:val="bottom"/>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2940" w:type="dxa"/>
            <w:vAlign w:val="bottom"/>
            <w:tcBorders>
              <w:top w:val="single" w:sz="8" w:color="auto"/>
              <w:bottom w:val="single" w:sz="8" w:color="auto"/>
            </w:tcBorders>
            <w:gridSpan w:val="7"/>
          </w:tcPr>
          <w:p>
            <w:pPr>
              <w:jc w:val="center"/>
              <w:ind w:right="121"/>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120" w:type="dxa"/>
            <w:vAlign w:val="bottom"/>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2960" w:type="dxa"/>
            <w:vAlign w:val="bottom"/>
            <w:tcBorders>
              <w:top w:val="single" w:sz="8" w:color="auto"/>
              <w:bottom w:val="single" w:sz="8" w:color="auto"/>
            </w:tcBorders>
            <w:gridSpan w:val="7"/>
          </w:tcPr>
          <w:p>
            <w:pPr>
              <w:jc w:val="center"/>
              <w:ind w:right="121"/>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r>
      <w:tr>
        <w:trPr>
          <w:trHeight w:val="196"/>
        </w:trPr>
        <w:tc>
          <w:tcPr>
            <w:tcW w:w="4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6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center"/>
              <w:ind w:right="161"/>
              <w:spacing w:after="0"/>
              <w:rPr>
                <w:sz w:val="20"/>
                <w:szCs w:val="20"/>
                <w:color w:val="auto"/>
              </w:rPr>
            </w:pPr>
            <w:r>
              <w:rPr>
                <w:rFonts w:ascii="Times New Roman" w:cs="Times New Roman" w:eastAsia="Times New Roman" w:hAnsi="Times New Roman"/>
                <w:sz w:val="14"/>
                <w:szCs w:val="14"/>
                <w:color w:val="auto"/>
                <w:w w:val="99"/>
              </w:rPr>
              <w:t>2024</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4"/>
                <w:szCs w:val="14"/>
                <w:b w:val="1"/>
                <w:bCs w:val="1"/>
                <w:color w:val="auto"/>
              </w:rPr>
              <w:t>25 vs 24</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6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center"/>
              <w:ind w:right="161"/>
              <w:spacing w:after="0"/>
              <w:rPr>
                <w:sz w:val="20"/>
                <w:szCs w:val="20"/>
                <w:color w:val="auto"/>
              </w:rPr>
            </w:pPr>
            <w:r>
              <w:rPr>
                <w:rFonts w:ascii="Times New Roman" w:cs="Times New Roman" w:eastAsia="Times New Roman" w:hAnsi="Times New Roman"/>
                <w:sz w:val="14"/>
                <w:szCs w:val="14"/>
                <w:color w:val="auto"/>
                <w:w w:val="99"/>
              </w:rPr>
              <w:t>2024</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4"/>
                <w:szCs w:val="14"/>
                <w:b w:val="1"/>
                <w:bCs w:val="1"/>
                <w:color w:val="auto"/>
              </w:rPr>
              <w:t>25 vs 24</w:t>
            </w:r>
          </w:p>
        </w:tc>
      </w:tr>
      <w:tr>
        <w:trPr>
          <w:trHeight w:val="216"/>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West</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3,295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7,053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(3,758)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641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1,699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(1,058)</w:t>
            </w:r>
          </w:p>
        </w:tc>
      </w:tr>
      <w:tr>
        <w:trPr>
          <w:trHeight w:val="230"/>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East</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333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1,318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(985)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(661)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294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(955)</w:t>
            </w:r>
          </w:p>
        </w:tc>
      </w:tr>
      <w:tr>
        <w:trPr>
          <w:trHeight w:val="230"/>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Southeast</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121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160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110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(32)</w:t>
            </w:r>
          </w:p>
        </w:tc>
      </w:tr>
      <w:tr>
        <w:trPr>
          <w:trHeight w:val="230"/>
        </w:trPr>
        <w:tc>
          <w:tcPr>
            <w:tcW w:w="47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Corporate and unallocated </w:t>
            </w:r>
            <w:r>
              <w:rPr>
                <w:rFonts w:ascii="Times New Roman" w:cs="Times New Roman" w:eastAsia="Times New Roman" w:hAnsi="Times New Roman"/>
                <w:sz w:val="23"/>
                <w:szCs w:val="23"/>
                <w:color w:val="auto"/>
                <w:vertAlign w:val="superscript"/>
              </w:rPr>
              <w:t>(a)</w:t>
            </w:r>
          </w:p>
        </w:tc>
        <w:tc>
          <w:tcPr>
            <w:tcW w:w="22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w:t>
            </w:r>
          </w:p>
        </w:tc>
        <w:tc>
          <w:tcPr>
            <w:tcW w:w="24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920" w:type="dxa"/>
            <w:vAlign w:val="bottom"/>
            <w:gridSpan w:val="2"/>
          </w:tcPr>
          <w:p>
            <w:pPr>
              <w:ind w:left="580"/>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(270)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(270)</w:t>
            </w:r>
          </w:p>
        </w:tc>
      </w:tr>
      <w:tr>
        <w:trPr>
          <w:trHeight w:val="234"/>
        </w:trPr>
        <w:tc>
          <w:tcPr>
            <w:tcW w:w="476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3,749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8,531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(4,782)</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(212)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2,103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(2,315)</w:t>
            </w:r>
          </w:p>
        </w:tc>
      </w:tr>
      <w:tr>
        <w:trPr>
          <w:trHeight w:val="20"/>
        </w:trPr>
        <w:tc>
          <w:tcPr>
            <w:tcW w:w="47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left="180" w:right="180" w:hanging="172"/>
        <w:spacing w:after="0" w:line="229" w:lineRule="auto"/>
        <w:tabs>
          <w:tab w:leader="none" w:pos="192" w:val="left"/>
        </w:tabs>
        <w:numPr>
          <w:ilvl w:val="0"/>
          <w:numId w:val="2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Corporate and unallocated includes capitalized interest and capitalized indirect costs expensed to land cost of sales related to land and lots sold, as well as capitalized interest and capitalized indirect costs impaired in order to reflect land held for sale assets at fair value less cost to sell.</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three months ended December 31, 2025, land sales and other revenue decreased by $4.8 million to $3.7 million, and land sales and other gross profit (loss) decreased by $2.3 million to a loss of $0.2 million compared to the prior year quarter. During the three months ended December 31, 2025, we recognized $1.0 million land held for sale impairment charges related to two held for sale communities in our West and East segments.</w:t>
      </w:r>
    </w:p>
    <w:p>
      <w:pPr>
        <w:spacing w:after="0" w:line="12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Period-over-period fluctuations on land sales and other revenue are primarily driven by the timing and volume of land and lot sales closings. As we continue to proactively manage our land position and divest land assets that no longer align with our strategic priorities, the dollar value of land sales and other revenue may grow. Land sales and other gross profit are primarily impacted by the profitability of individual land and lot sale transactions as well as the volume of our title examinations operations. Future land and lot sales will depend on a variety of factors, including local market conditions, individual community performance, and changing strategic plans.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Income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summarizes operating income by reportable segment and Corporate and unallocated for the periods presented:</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540" w:type="dxa"/>
            <w:vAlign w:val="bottom"/>
            <w:gridSpan w:val="7"/>
          </w:tcPr>
          <w:p>
            <w:pPr>
              <w:jc w:val="right"/>
              <w:ind w:right="733"/>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0" w:type="dxa"/>
            <w:vAlign w:val="bottom"/>
          </w:tcPr>
          <w:p>
            <w:pPr>
              <w:spacing w:after="0"/>
              <w:rPr>
                <w:sz w:val="1"/>
                <w:szCs w:val="1"/>
                <w:color w:val="auto"/>
              </w:rPr>
            </w:pPr>
          </w:p>
        </w:tc>
      </w:tr>
      <w:tr>
        <w:trPr>
          <w:trHeight w:val="23"/>
        </w:trPr>
        <w:tc>
          <w:tcPr>
            <w:tcW w:w="742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42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color w:val="auto"/>
              </w:rPr>
              <w:t>2024</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25 vs 24</w:t>
            </w:r>
          </w:p>
        </w:tc>
        <w:tc>
          <w:tcPr>
            <w:tcW w:w="0" w:type="dxa"/>
            <w:vAlign w:val="bottom"/>
          </w:tcPr>
          <w:p>
            <w:pPr>
              <w:spacing w:after="0"/>
              <w:rPr>
                <w:sz w:val="1"/>
                <w:szCs w:val="1"/>
                <w:color w:val="auto"/>
              </w:rPr>
            </w:pPr>
          </w:p>
        </w:tc>
      </w:tr>
      <w:tr>
        <w:trPr>
          <w:trHeight w:val="229"/>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West</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4,181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27,414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(23,233)</w:t>
            </w:r>
          </w:p>
        </w:tc>
        <w:tc>
          <w:tcPr>
            <w:tcW w:w="0" w:type="dxa"/>
            <w:vAlign w:val="bottom"/>
          </w:tcPr>
          <w:p>
            <w:pPr>
              <w:spacing w:after="0"/>
              <w:rPr>
                <w:sz w:val="1"/>
                <w:szCs w:val="1"/>
                <w:color w:val="auto"/>
              </w:rPr>
            </w:pPr>
          </w:p>
        </w:tc>
      </w:tr>
      <w:tr>
        <w:trPr>
          <w:trHeight w:val="229"/>
        </w:trPr>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East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3,533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(3,139)</w:t>
            </w:r>
          </w:p>
        </w:tc>
        <w:tc>
          <w:tcPr>
            <w:tcW w:w="0" w:type="dxa"/>
            <w:vAlign w:val="bottom"/>
          </w:tcPr>
          <w:p>
            <w:pPr>
              <w:spacing w:after="0"/>
              <w:rPr>
                <w:sz w:val="1"/>
                <w:szCs w:val="1"/>
                <w:color w:val="auto"/>
              </w:rPr>
            </w:pPr>
          </w:p>
        </w:tc>
      </w:tr>
      <w:tr>
        <w:trPr>
          <w:trHeight w:val="230"/>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Southeast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(2,609)</w:t>
            </w:r>
          </w:p>
        </w:tc>
        <w:tc>
          <w:tcPr>
            <w:tcW w:w="0" w:type="dxa"/>
            <w:vAlign w:val="bottom"/>
          </w:tcPr>
          <w:p>
            <w:pPr>
              <w:spacing w:after="0"/>
              <w:rPr>
                <w:sz w:val="1"/>
                <w:szCs w:val="1"/>
                <w:color w:val="auto"/>
              </w:rPr>
            </w:pPr>
          </w:p>
        </w:tc>
      </w:tr>
      <w:tr>
        <w:trPr>
          <w:trHeight w:val="229"/>
        </w:trPr>
        <w:tc>
          <w:tcPr>
            <w:tcW w:w="742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Corporate and unallocated</w:t>
            </w:r>
            <w:r>
              <w:rPr>
                <w:rFonts w:ascii="Times New Roman" w:cs="Times New Roman" w:eastAsia="Times New Roman" w:hAnsi="Times New Roman"/>
                <w:sz w:val="23"/>
                <w:szCs w:val="23"/>
                <w:color w:val="auto"/>
                <w:vertAlign w:val="superscript"/>
              </w:rPr>
              <w:t>(a)</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(39,569)</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(34,569)</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(5,000)</w:t>
            </w:r>
          </w:p>
        </w:tc>
        <w:tc>
          <w:tcPr>
            <w:tcW w:w="0" w:type="dxa"/>
            <w:vAlign w:val="bottom"/>
          </w:tcPr>
          <w:p>
            <w:pPr>
              <w:spacing w:after="0"/>
              <w:rPr>
                <w:sz w:val="1"/>
                <w:szCs w:val="1"/>
                <w:color w:val="auto"/>
              </w:rPr>
            </w:pPr>
          </w:p>
        </w:tc>
      </w:tr>
      <w:tr>
        <w:trPr>
          <w:trHeight w:val="248"/>
        </w:trPr>
        <w:tc>
          <w:tcPr>
            <w:tcW w:w="74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(loss) income</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(31,843)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(33,981)</w:t>
            </w:r>
          </w:p>
        </w:tc>
        <w:tc>
          <w:tcPr>
            <w:tcW w:w="0" w:type="dxa"/>
            <w:vAlign w:val="bottom"/>
          </w:tcPr>
          <w:p>
            <w:pPr>
              <w:spacing w:after="0"/>
              <w:rPr>
                <w:sz w:val="1"/>
                <w:szCs w:val="1"/>
                <w:color w:val="auto"/>
              </w:rPr>
            </w:pPr>
          </w:p>
        </w:tc>
      </w:tr>
      <w:tr>
        <w:trPr>
          <w:trHeight w:val="20"/>
        </w:trPr>
        <w:tc>
          <w:tcPr>
            <w:tcW w:w="74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left="180" w:right="100" w:hanging="172"/>
        <w:spacing w:after="0" w:line="239" w:lineRule="auto"/>
        <w:tabs>
          <w:tab w:leader="none" w:pos="192" w:val="left"/>
        </w:tabs>
        <w:numPr>
          <w:ilvl w:val="0"/>
          <w:numId w:val="2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amortization of capitalized interest, capitalization and amortization of indirect costs, impairment of capitalized interest and capitalized indirect costs, when applicable, expenses related to numerous shared services functions that benefit all segments but are not allocated to the operating segments reported above, including information technology, treasury, corporate finance, legal, branding and national marketing, and certain other amounts that are not allocated to our operating segments.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December 31, 2025 as compared to 2024</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operating income decreased by $34.0 million to a loss of $31.8 million for the three months ended December 31, 2025, compared to operating income of $2.1 million for the three months ended December 31, 2024. This decrease compared to the prior year quarter was primarily due to the previously discussed decrease in gross profit and gross margin. SG&amp;A as a percentage of total revenue increased by 390 basis points compared to the prior year quarter, from 14.0% to 17.9%, primarily due to lower homebuilding revenue.</w:t>
      </w:r>
    </w:p>
    <w:p>
      <w:pPr>
        <w:spacing w:after="0" w:line="124"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West Segment: </w:t>
      </w:r>
      <w:r>
        <w:rPr>
          <w:rFonts w:ascii="Times New Roman" w:cs="Times New Roman" w:eastAsia="Times New Roman" w:hAnsi="Times New Roman"/>
          <w:sz w:val="18"/>
          <w:szCs w:val="18"/>
          <w:color w:val="auto"/>
        </w:rPr>
        <w:t>The $23.2 million decrease in operating income compared to the prior year quarter was primarily due to the lower gross profit previously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discussed and higher sales and marketing costs, partially offset by lower commissions expense on lower homebuilding revenue.</w:t>
      </w:r>
    </w:p>
    <w:p>
      <w:pPr>
        <w:spacing w:after="0" w:line="104"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East Segment: </w:t>
      </w:r>
      <w:r>
        <w:rPr>
          <w:rFonts w:ascii="Times New Roman" w:cs="Times New Roman" w:eastAsia="Times New Roman" w:hAnsi="Times New Roman"/>
          <w:sz w:val="18"/>
          <w:szCs w:val="18"/>
          <w:color w:val="auto"/>
        </w:rPr>
        <w:t>The $3.1 million decrease in operating income compared to the prior year quarter was primarily due to the lower gross profit previously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discussed and higher sales and marketing costs, partially offset by lower commissions expense on lower homebuilding revenue.</w:t>
      </w:r>
    </w:p>
    <w:p>
      <w:pPr>
        <w:spacing w:after="0" w:line="104"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Southeast Segment: </w:t>
      </w:r>
      <w:r>
        <w:rPr>
          <w:rFonts w:ascii="Times New Roman" w:cs="Times New Roman" w:eastAsia="Times New Roman" w:hAnsi="Times New Roman"/>
          <w:sz w:val="18"/>
          <w:szCs w:val="18"/>
          <w:color w:val="auto"/>
        </w:rPr>
        <w:t>The $2.6 million decrease in operating income compared to the prior year quarter was primarily due to the lower gross profit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previously discussed and higher sales and marketing costs, partially offset by lower commissions expense on lower homebuilding revenue.</w:t>
      </w:r>
    </w:p>
    <w:p>
      <w:pPr>
        <w:spacing w:after="0" w:line="10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Corporate and Unallocated: </w:t>
      </w:r>
      <w:r>
        <w:rPr>
          <w:rFonts w:ascii="Times New Roman" w:cs="Times New Roman" w:eastAsia="Times New Roman" w:hAnsi="Times New Roman"/>
          <w:sz w:val="18"/>
          <w:szCs w:val="18"/>
          <w:color w:val="auto"/>
        </w:rPr>
        <w:t>Our corporate and unallocated results include amortization of capitalized interest, capitalization and amortization of indirect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costs, impairment of capitalized interest and capitalized indirect costs, expenses for various shared services functions that benefit all segments but are not allocated, including information technology, treasury, corporate finance, legal, branding and national marketing, and certain other amounts that are not allocated to our operating segments. For the three months ended December 31, 2025, corporate and unallocated net expenses increased by $5.0 million from the prior year quarter primarily due to a litigation-related charge (refer to Note 8 of the notes to the condensed consolidated financial statements included in this Form 10-Q for further discussion) and higher G&amp;A expenses, partially offset by lower amortization of capitalized interest costs expensed to homebuilding cost of sales on lower closings and homebuilding revenue.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income tax assets and liabilities and related effective tax rate are affected by a variety of factors, including, but not limited to, tax credits, permanent differences and other discrete items. A comparison of our effective tax rates should also consider the changes in valuation allowance in periods when a change occurs. As such, our income tax expense (benefit) is not always directly correlated to the amount of pre-tax income or loss for the associated periods.</w:t>
      </w:r>
    </w:p>
    <w:p>
      <w:pPr>
        <w:spacing w:after="0" w:line="12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recognized income tax expense of $1.5 million for the three months ended December 31, 2025, compared to income tax expense of $36.0 thousand for the three months ended December 31, 2024. Income tax expense for the three months ended December 31, 2025 was primarily driven by energy efficiency tax credits generated from expected closings during the current fiscal year, a discrete tax benefit from tax credits related to prior year activities, and stock-based compensation activity in the period, partially offset by the operating loss, and permanent differences. Income tax expense for the three months ended December 31, 2024 was primarily driven by income tax expense on earnings from operations and permanent differences, partially offset by energy efficiency tax credits generated from expected closings during the current fiscal year, and stock-based compensation activity in the period. Refer to Note 10 of the notes to the condensed consolidated financial statements included in this Form 10-Q for further discussion of our income taxes.</w:t>
      </w:r>
    </w:p>
    <w:p>
      <w:pPr>
        <w:spacing w:after="0" w:line="13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July 4, 2025, the One Big Beautiful Bill Act (OBBBA) was signed into law. The OBBBA repeals many of the energy efficiency credits enacted under the Inflation Reduction Act, including our ability to claim energy efficient new home tax credits for homes that close after June 30, 2026.</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sources of liquidity include, but are not limited to, cash from operations, proceeds from Senior Notes, our Senior Unsecured Revolving Credit Facility and other bank borrowings, the issuance of equity and equity-linked securities, and other external sources of funds. Our short-term and long-term liquidity depends primarily upon our level of net income, working capital management (cash, accounts receivable, accounts payable and other liabilities), and available credit facilities.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changes in cash, cash equivalents, and restricted cash are as follows for the periods presented:</w:t>
      </w:r>
    </w:p>
    <w:p>
      <w:pPr>
        <w:spacing w:after="0" w:line="97"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79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940" w:type="dxa"/>
            <w:vAlign w:val="bottom"/>
            <w:gridSpan w:val="4"/>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0" w:type="dxa"/>
            <w:vAlign w:val="bottom"/>
          </w:tcPr>
          <w:p>
            <w:pPr>
              <w:spacing w:after="0"/>
              <w:rPr>
                <w:sz w:val="1"/>
                <w:szCs w:val="1"/>
                <w:color w:val="auto"/>
              </w:rPr>
            </w:pPr>
          </w:p>
        </w:tc>
      </w:tr>
      <w:tr>
        <w:trPr>
          <w:trHeight w:val="23"/>
        </w:trPr>
        <w:tc>
          <w:tcPr>
            <w:tcW w:w="792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920" w:type="dxa"/>
            <w:vAlign w:val="bottom"/>
            <w:tcBorders>
              <w:bottom w:val="single" w:sz="8" w:color="CCEEFF"/>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7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color w:val="auto"/>
              </w:rPr>
              <w:t>2024</w:t>
            </w:r>
          </w:p>
        </w:tc>
        <w:tc>
          <w:tcPr>
            <w:tcW w:w="0" w:type="dxa"/>
            <w:vAlign w:val="bottom"/>
          </w:tcPr>
          <w:p>
            <w:pPr>
              <w:spacing w:after="0"/>
              <w:rPr>
                <w:sz w:val="1"/>
                <w:szCs w:val="1"/>
                <w:color w:val="auto"/>
              </w:rPr>
            </w:pPr>
          </w:p>
        </w:tc>
      </w:tr>
      <w:tr>
        <w:trPr>
          <w:trHeight w:val="229"/>
        </w:trPr>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(165,297)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(159,365)</w:t>
            </w:r>
          </w:p>
        </w:tc>
        <w:tc>
          <w:tcPr>
            <w:tcW w:w="0" w:type="dxa"/>
            <w:vAlign w:val="bottom"/>
          </w:tcPr>
          <w:p>
            <w:pPr>
              <w:spacing w:after="0"/>
              <w:rPr>
                <w:sz w:val="1"/>
                <w:szCs w:val="1"/>
                <w:color w:val="auto"/>
              </w:rPr>
            </w:pPr>
          </w:p>
        </w:tc>
      </w:tr>
      <w:tr>
        <w:trPr>
          <w:trHeight w:val="230"/>
        </w:trPr>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(6,310)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(5,672)</w:t>
            </w:r>
          </w:p>
        </w:tc>
        <w:tc>
          <w:tcPr>
            <w:tcW w:w="0" w:type="dxa"/>
            <w:vAlign w:val="bottom"/>
          </w:tcPr>
          <w:p>
            <w:pPr>
              <w:spacing w:after="0"/>
              <w:rPr>
                <w:sz w:val="1"/>
                <w:szCs w:val="1"/>
                <w:color w:val="auto"/>
              </w:rPr>
            </w:pPr>
          </w:p>
        </w:tc>
      </w:tr>
      <w:tr>
        <w:trPr>
          <w:trHeight w:val="230"/>
        </w:trPr>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77,385</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41,894</w:t>
            </w:r>
          </w:p>
        </w:tc>
        <w:tc>
          <w:tcPr>
            <w:tcW w:w="0" w:type="dxa"/>
            <w:vAlign w:val="bottom"/>
          </w:tcPr>
          <w:p>
            <w:pPr>
              <w:spacing w:after="0"/>
              <w:rPr>
                <w:sz w:val="1"/>
                <w:szCs w:val="1"/>
                <w:color w:val="auto"/>
              </w:rPr>
            </w:pPr>
          </w:p>
        </w:tc>
      </w:tr>
      <w:tr>
        <w:trPr>
          <w:trHeight w:val="223"/>
        </w:trPr>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Net decrease in cash, cash equivalents, and restricted cash</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(94,222)</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(123,143)</w:t>
            </w:r>
          </w:p>
        </w:tc>
        <w:tc>
          <w:tcPr>
            <w:tcW w:w="0" w:type="dxa"/>
            <w:vAlign w:val="bottom"/>
          </w:tcPr>
          <w:p>
            <w:pPr>
              <w:spacing w:after="0"/>
              <w:rPr>
                <w:sz w:val="1"/>
                <w:szCs w:val="1"/>
                <w:color w:val="auto"/>
              </w:rPr>
            </w:pPr>
          </w:p>
        </w:tc>
      </w:tr>
      <w:tr>
        <w:trPr>
          <w:trHeight w:val="20"/>
        </w:trPr>
        <w:tc>
          <w:tcPr>
            <w:tcW w:w="79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Net cash used in operating activities was $165.3 million for the three months ended December 31, 2025. The primary drivers of operating cash flows are typically cash earnings and changes in inventory levels, including land acquisition and development spending. Net cash used in operating activities during the period was primarily driven by an increase in inventory of $112.6 million resulting from land acquisition, land development and house construction spending, loss before income taxes of $31.1 million, which included $8.0 million of non-cash charges, and a net increase in non-inventory working capital balances of $29.6 million.</w:t>
      </w:r>
    </w:p>
    <w:p>
      <w:pPr>
        <w:spacing w:after="0" w:line="1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cash used in operating activities was $159.4 million for the three months ended December 31, 2024. Net cash used in operating activities during the period was primarily driven by an increase in inventory of $122.3 million resulting from land acquisition, land development and house construction spending to support continued growth, and a net increase in non-inventory working capital balances of $46.1 million. This was partially offset by cash inflows from income before income taxes of $3.2 million, which included $5.9 million of non-cash charges.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7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was $6.3 million for the three months ended December 31, 2025, primarily driven by capital expenditures for model homes and information systems infrastructure and purchases of investment securities.</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was $5.7 million for the three months ended December 31, 2024, primarily driven by capital expenditures for model homes and information systems infrastructure and purchases of investment securities.</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cash provided by financing activities was $77.4 million for the three months ended December 31, 2025, primarily driven by borrowings from our Unsecured Facility (refer to Note 6 of the notes to the condensed consolidated financial statements included in this Form 10-Q for further discussion), partially offset by common stock repurchases under our share repurchase program and tax payments for stock-based compensation awards vesting.</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cash provided by financing activities was $41.9 million for the three months ended December 31, 2024, primarily driven by net borrowings from our Unsecured Facility (see Note 6 of the notes to the condensed consolidated financial statements included in this Form 10-Q for further discussion), partially offset by tax payments for stock-based compensation awards vesting.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Position</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2025, our liquidity position consisted of $120.8 million in cash and cash equivalents and $221.9 million of remaining capacity under the Unsecured Facility, compared to $80.4 million in cash and cash equivalents and $255.0 million of remaining capacity under the Unsecured Facility as of December 31, 2024.</w:t>
      </w:r>
    </w:p>
    <w:p>
      <w:pPr>
        <w:spacing w:after="0" w:line="12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While we believe we possess sufficient liquidity, we are mindful of potential short-term or seasonal requirements for enhanced liquidity that may arise to operate and grow our business. As of the date of this report, we believe we have adequate capital resources and sufficient access to external financing sources to satisfy our current and long-term liquidity needs for funds to conduct our operations and meet other needs in the ordinary course of our business, however, we are continually reviewing our capital resources to determine whether we can meet our short- and long-term goals, and we may require additional capital to do so.</w:t>
      </w:r>
    </w:p>
    <w:p>
      <w:pPr>
        <w:spacing w:after="0" w:line="1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times, we may also engage in capital markets, bank loans, project debt or other financial transactions, including the repurchase of debt or potential new issuances of debt or equity securities to support our business needs. The amounts involved in these transactions, if any, may be material. In addition, as necessary or desirable, we may adjust or amend the terms of and/or expand the capacity of the Unsecured Facility, or enter into additional letter of credit facilities, or other similar facility arrangements, in each case with the same or other financial institutions, or allow any such facilities to mature or expire.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Debt</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generally fulfill our short-term cash requirements with cash generated from our operations and available borrowings. Additionally, our Unsecured Facility provides working capital and letter of credit capacity of $365.0 million, which includes a letter of credit capacity of $100.0 million. As of December 31, 2025, we had $95.0 million in borrowings and $48.1 million in letters of credit were outstanding under the Unsecured Facility, resulting in a remaining borrowing capacity of $221.9 million.</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also entered into a number of stand-alone letter of credit agreements with banks, secured with cash or certificates of deposit. These combined facilities provide for letter of credit needs collateralized by either cash or assets of the Company. We currently have $4.6 million of outstanding letters of credit under these facilities.</w:t>
      </w:r>
    </w:p>
    <w:p>
      <w:pPr>
        <w:spacing w:after="0" w:line="12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the future, we may from time to time seek to continue to retire or purchase our outstanding debt through cash repurchases or in exchange for other debt securities, in open market purchases, privately negotiated transactions, or otherwise. In addition, any material variance from our projected operating results could require us to obtain additional equity or debt financing. There can be no assurance that we will be able to complete any of these transactions in the future on favorable terms or at all. See Note 6 of the notes to the condensed consolidated financial statements in this Form 10-Q for additional details related to our borrowings.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Supplemental Guarantor Information</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discussed in Note 6 of the notes to the condensed consolidated financial statements in this Form 10-Q, the Company's obligations to pay principal and interest under certain debt agreements are guaranteed on a joint and several basis by substantially all of the Company's subsidiaries. Some of the immaterial subsidiaries do not guarantee the Senior Notes. The guarantees are full and unconditional. Summarized financial information is not presented for Beazer Homes USA, Inc. and the guarantor subsidiaries on a combined basis as the assets, liabilities and results of operations of the combined issuer and guarantors of the guaranteed security are not materially different than corresponding amounts presented in the condensed consolidated financial statements of the parent company.</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Credit Ratings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credit ratings are periodically reviewed by rating agencies. In November 2025, S&amp;P revised the Company’s corporate credit rating from B+ to B and revised the Company's outlook from negative to stable. In September 2025, Moody's reaffirmed the Company's issuer corporate family rating of B1 and reaffirmed the Company's outlook of stable. In addition, our Senior Notes have a rating of B and B1 per S&amp;P and Moody's, respectively. These ratings and our current credit condition affect, among other things, our ability to access new capital. These ratings are not recommendations to buy, sell or hold debt securities. Negative changes to these ratings may result in more stringent covenants and higher interest rates under the terms of any new debt. Our credit ratings could be lowered, or rating agencies could issue adverse commentaries in the future, which could have a material adverse effect on our business, financial condition, results of operations, and liquidity. In particular, a weakening of our financial condition, including any further increase in our leverage or decrease in our profitability or cash flows, could adversely affect our ability to obtain necessary funds, could result in a credit rating downgrade or change in outlook, or could otherwise increase our cost of borrowing.</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Repurchases and Dividends Paid</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April 2025, the Company's Board of Directors approved a share repurchase program that authorizes the Company to repurchase up to $100.0 million of its outstanding common stock. The repurchase program has no expiration date. The Company repurchased 697 thousand shares of its common stock, approximately 2.3% of our fiscal first quarter's outstanding shares, for an aggregate $15.1 million at an average price per share of $21.72 during the three months ended December 31, 2025 through open market transactions. All shares have been retired upon repurchase. No share repurchases were made during the three months ended December 31, 2024. The aggregate reduction to stockholders' equity related to share repurchases during the three months ended December 31, 2025 was $15.1 million. As of December 31, 2025, the remaining availability of the share repurchase program was $72.3 million.</w:t>
      </w:r>
    </w:p>
    <w:p>
      <w:pPr>
        <w:spacing w:after="0" w:line="13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indentures under which our Senior Notes were issued contain certain restrictive covenants, including limitations on the payment of dividends. There were no dividends paid during the three months ended December 31, 2025 or 2024.</w:t>
      </w:r>
    </w:p>
    <w:p>
      <w:pPr>
        <w:spacing w:after="0" w:line="104" w:lineRule="exact"/>
        <w:rPr>
          <w:sz w:val="20"/>
          <w:szCs w:val="20"/>
          <w:color w:val="auto"/>
        </w:rPr>
      </w:pPr>
    </w:p>
    <w:p>
      <w:pPr>
        <w:ind w:right="5400"/>
        <w:spacing w:after="0" w:line="440" w:lineRule="auto"/>
        <w:rPr>
          <w:sz w:val="20"/>
          <w:szCs w:val="20"/>
          <w:color w:val="auto"/>
        </w:rPr>
      </w:pPr>
      <w:r>
        <w:rPr>
          <w:rFonts w:ascii="Times New Roman" w:cs="Times New Roman" w:eastAsia="Times New Roman" w:hAnsi="Times New Roman"/>
          <w:sz w:val="18"/>
          <w:szCs w:val="18"/>
          <w:b w:val="1"/>
          <w:bCs w:val="1"/>
          <w:color w:val="auto"/>
        </w:rPr>
        <w:t xml:space="preserve">Off-Balance Sheet Arrangements and Aggregate Contractual Commitments </w:t>
      </w:r>
      <w:r>
        <w:rPr>
          <w:rFonts w:ascii="Times New Roman" w:cs="Times New Roman" w:eastAsia="Times New Roman" w:hAnsi="Times New Roman"/>
          <w:sz w:val="18"/>
          <w:szCs w:val="18"/>
          <w:i w:val="1"/>
          <w:iCs w:val="1"/>
          <w:color w:val="auto"/>
        </w:rPr>
        <w:t>Lot Option Agreements</w:t>
      </w:r>
    </w:p>
    <w:p>
      <w:pPr>
        <w:spacing w:after="0" w:line="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to purchasing land directly, we control a portion of our land supply through lot option agreements with land developers and land bankers, which generally require the payment of cash or issuance of an irrevocable letter of credit or surety bond for the right to acquire lots during a specified period of time at a specified price. In recent years, we have focused on increasing our lot option agreement usage to minimize risk as we grow our land position. As of December 31, 2025, we controlled 24,832 lots, which includes 251 lots of land held for future development and 1,083 lots of land held for sale. Of the 23,498 active lots, we controlled 14,340 of these lots, or 61.0%, through option agreements, as compared to 16,609 active lots controlled, or 58.9% of our total active lots, through option agreements as of December 31, 2024. Lot option agreements allow us to position for future growth while providing the flexibility to respond to market conditions by renegotiating the terms of the options prior to exercise or terminating the agreement.</w:t>
      </w:r>
    </w:p>
    <w:p>
      <w:pPr>
        <w:spacing w:after="0" w:line="13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Under option agreements, purchase of the properties is contingent upon satisfaction of certain requirements by us and the sellers, and our liability is generally limited to forfeiture of the non-refundable deposits, letters of credit or surety bonds, and other non-refundable amounts incurred, which totaled $353.9 million as of December 31, 2025. The total remaining purchase price, net of cash deposits, committed under all options was $1.60 billion as of December 31, 2025. Subject to market conditions and our liquidity, we may further expand our use of option agreements to supplement our inventory supply.</w:t>
      </w:r>
    </w:p>
    <w:p>
      <w:pPr>
        <w:spacing w:after="0" w:line="1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expect to exercise, subject to market conditions and seller satisfaction of contract terms, most of our option agreements. Various factors, some of which are beyond our control, such as market conditions, weather conditions, and the timing of the completion of development activities, will have a significant impact on the timing of option exercises or whether lot options will be exercised at all.</w:t>
      </w:r>
    </w:p>
    <w:p>
      <w:pPr>
        <w:spacing w:after="0" w:line="12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historically funded the exercise of lot options with operating cash flows. We expect these sources to continue to be adequate to fund anticipated future option exercises. Therefore, we do not anticipate that the exercise of our lot options will have a material adverse effect on our liquidity.</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Letters of Credit and Surety Bonds</w:t>
      </w:r>
    </w:p>
    <w:p>
      <w:pPr>
        <w:spacing w:after="0" w:line="17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connection with the development of our communities, we are frequently required to provide performance, maintenance, and other bonds and letters of credit in support of our related obligations with respect to such developments. The amount of such obligations outstanding at any time varies in accordance with our pending development activities. In the event any such bonds or letters of credit are drawn upon, we would be obligated to reimburse the issuer of such bonds or letters of credit. We had outstanding letters of credit, surety bonds, and surety-backed letters of credit of $52.7 million, $319.6 million, and $4.6 million respectively, as of December 31, 2025, primarily related to our obligations to local governments to construct roads and other improvements in various developments.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critical accounting policies require the use of judgment in their application and in certain cases require estimates of inherently uncertain matters. Although our accounting policies are in compliance with accounting principles generally accepted in the United States of America (GAAP), a change in the facts and circumstances of the underlying transactions could significantly change the application of the accounting policies and the resulting financial statement impact. It is also possible that other professionals applying reasonable judgment to the same set of facts and circumstances could reach a different conclusion. As disclosed in our 2025 Annual Report, our most critical accounting policies relate to inventory valuation of projects in progress, warranty reserves, and income tax valuation allowances. There have been no significant changes to our critical accounting policies and estimates during the three months ended December 31, 2025 as compared to those described in Item 7. Management's Discussion and Analysis of Financial Condition and Results of Operations included in our 2025 Annual Report on Form 10-K.</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exposed to a number of market risks in the ordinary course of business. Our primary market risk exposure relates to fluctuations in interest rates. We do not believe that our exposure in this area is material to our cash flows or results of operations. As of December 31, 2025, we had variable rate debt outstanding totaling approximately $79.0 million. A one percent increase in the interest rate for these notes would result in an increase of our interest expense by approximately $1.0 million over the next twelve-month period. The estimated fair value of our fixed-rate debt as of December 31, 2025 was $970.7 million, compared to a carrying amount of $951.1 million. The effect of a hypothetical one-percentage point decrease in our estimated discount rates would increase the estimated fair value of the fixed rate debt instruments from $970.7 million to $999.9 million as of December 31, 2025.</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Disclosure Controls and Procedures</w:t>
      </w:r>
    </w:p>
    <w:p>
      <w:pPr>
        <w:spacing w:after="0" w:line="17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As of the end of the period covered by this report, an evaluation was performed based on criteria established in the </w:t>
      </w:r>
      <w:r>
        <w:rPr>
          <w:rFonts w:ascii="Times New Roman" w:cs="Times New Roman" w:eastAsia="Times New Roman" w:hAnsi="Times New Roman"/>
          <w:sz w:val="18"/>
          <w:szCs w:val="18"/>
          <w:i w:val="1"/>
          <w:iCs w:val="1"/>
          <w:color w:val="auto"/>
        </w:rPr>
        <w:t>Internal Control - Integrated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Framework </w:t>
      </w:r>
      <w:r>
        <w:rPr>
          <w:rFonts w:ascii="Times New Roman" w:cs="Times New Roman" w:eastAsia="Times New Roman" w:hAnsi="Times New Roman"/>
          <w:sz w:val="18"/>
          <w:szCs w:val="18"/>
          <w:color w:val="auto"/>
        </w:rPr>
        <w:t>issued by the Committee of Sponsoring Organizations of the Treadway Commission (2013 Framework) under the supervision and with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participation of the Company’s management, including the Chief Executive Officer (CEO) and Chief Financial Officer (CFO), of the effectiveness of the Company’s disclosure controls and procedures as defined in Rule 13a-15(e) and 15d-15(e) under the Securities Exchange Act of 1934 (the Act). Based on that evaluation, the CEO and CFO concluded that the Company’s disclosure controls and procedures were effective as of December 31, 2025 at a reasonable assurance level.</w:t>
      </w:r>
    </w:p>
    <w:p>
      <w:pPr>
        <w:spacing w:after="0" w:line="13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Attached as exhibits to this Form 10-Q are certifications of our CEO and CFO, which are required by Rule 13a-14 of the Act. This Disclosure Controls and Procedures section includes information concerning management’s evaluation of disclosure controls and procedures referred to in those certifications and should be read in conjunction with the certifications of the CEO and CFO.</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have been no changes in the Company’s internal control over financial reporting during the quarter ended December 31, 2025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 discussion of our legal proceedings, see Note 8 of the notes to our condensed consolidated financial statements in this Form 10-Q.</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the risk factors we previously disclosed in our Annual Report on Form 10-K for the year ended September 30,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Company's common stock repurchases during the quarter ended December 31, 2025:</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9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18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Approximate Dollar Value</w:t>
            </w:r>
          </w:p>
        </w:tc>
        <w:tc>
          <w:tcPr>
            <w:tcW w:w="0" w:type="dxa"/>
            <w:vAlign w:val="bottom"/>
          </w:tcPr>
          <w:p>
            <w:pPr>
              <w:spacing w:after="0"/>
              <w:rPr>
                <w:sz w:val="1"/>
                <w:szCs w:val="1"/>
                <w:color w:val="auto"/>
              </w:rPr>
            </w:pPr>
          </w:p>
        </w:tc>
      </w:tr>
      <w:tr>
        <w:trPr>
          <w:trHeight w:val="146"/>
        </w:trPr>
        <w:tc>
          <w:tcPr>
            <w:tcW w:w="3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160" w:type="dxa"/>
            <w:vAlign w:val="bottom"/>
          </w:tcPr>
          <w:p>
            <w:pPr>
              <w:spacing w:after="0"/>
              <w:rPr>
                <w:sz w:val="12"/>
                <w:szCs w:val="12"/>
                <w:color w:val="auto"/>
              </w:rPr>
            </w:pPr>
          </w:p>
        </w:tc>
        <w:tc>
          <w:tcPr>
            <w:tcW w:w="17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Average Price Paid per</w:t>
            </w:r>
          </w:p>
        </w:tc>
        <w:tc>
          <w:tcPr>
            <w:tcW w:w="192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Purchased as Part of</w:t>
            </w:r>
          </w:p>
        </w:tc>
        <w:tc>
          <w:tcPr>
            <w:tcW w:w="1800" w:type="dxa"/>
            <w:vAlign w:val="bottom"/>
            <w:gridSpan w:val="2"/>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of Shares that May Yet Be</w:t>
            </w:r>
          </w:p>
        </w:tc>
        <w:tc>
          <w:tcPr>
            <w:tcW w:w="0" w:type="dxa"/>
            <w:vAlign w:val="bottom"/>
          </w:tcPr>
          <w:p>
            <w:pPr>
              <w:spacing w:after="0"/>
              <w:rPr>
                <w:sz w:val="1"/>
                <w:szCs w:val="1"/>
                <w:color w:val="auto"/>
              </w:rPr>
            </w:pPr>
          </w:p>
        </w:tc>
      </w:tr>
      <w:tr>
        <w:trPr>
          <w:trHeight w:val="148"/>
        </w:trPr>
        <w:tc>
          <w:tcPr>
            <w:tcW w:w="3720" w:type="dxa"/>
            <w:vAlign w:val="bottom"/>
            <w:gridSpan w:val="2"/>
            <w:vMerge w:val="restart"/>
          </w:tcPr>
          <w:p>
            <w:pPr>
              <w:ind w:left="162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9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740" w:type="dxa"/>
            <w:vAlign w:val="bottom"/>
            <w:gridSpan w:val="2"/>
            <w:vMerge w:val="continue"/>
          </w:tcPr>
          <w:p>
            <w:pPr>
              <w:spacing w:after="0"/>
              <w:rPr>
                <w:sz w:val="12"/>
                <w:szCs w:val="12"/>
                <w:color w:val="auto"/>
              </w:rPr>
            </w:pPr>
          </w:p>
        </w:tc>
        <w:tc>
          <w:tcPr>
            <w:tcW w:w="192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Publicly Announced</w:t>
            </w:r>
          </w:p>
        </w:tc>
        <w:tc>
          <w:tcPr>
            <w:tcW w:w="180" w:type="dxa"/>
            <w:vAlign w:val="bottom"/>
          </w:tcPr>
          <w:p>
            <w:pPr>
              <w:spacing w:after="0"/>
              <w:rPr>
                <w:sz w:val="12"/>
                <w:szCs w:val="12"/>
                <w:color w:val="auto"/>
              </w:rPr>
            </w:pPr>
          </w:p>
        </w:tc>
        <w:tc>
          <w:tcPr>
            <w:tcW w:w="1620" w:type="dxa"/>
            <w:vAlign w:val="bottom"/>
          </w:tcPr>
          <w:p>
            <w:pPr>
              <w:jc w:val="center"/>
              <w:ind w:right="116"/>
              <w:spacing w:after="0" w:line="149" w:lineRule="exact"/>
              <w:rPr>
                <w:sz w:val="20"/>
                <w:szCs w:val="20"/>
                <w:color w:val="auto"/>
              </w:rPr>
            </w:pPr>
            <w:r>
              <w:rPr>
                <w:rFonts w:ascii="Times New Roman" w:cs="Times New Roman" w:eastAsia="Times New Roman" w:hAnsi="Times New Roman"/>
                <w:sz w:val="14"/>
                <w:szCs w:val="14"/>
                <w:b w:val="1"/>
                <w:bCs w:val="1"/>
                <w:color w:val="auto"/>
              </w:rPr>
              <w:t>Purchased Under the</w:t>
            </w:r>
          </w:p>
        </w:tc>
        <w:tc>
          <w:tcPr>
            <w:tcW w:w="0" w:type="dxa"/>
            <w:vAlign w:val="bottom"/>
          </w:tcPr>
          <w:p>
            <w:pPr>
              <w:spacing w:after="0"/>
              <w:rPr>
                <w:sz w:val="1"/>
                <w:szCs w:val="1"/>
                <w:color w:val="auto"/>
              </w:rPr>
            </w:pPr>
          </w:p>
        </w:tc>
      </w:tr>
      <w:tr>
        <w:trPr>
          <w:trHeight w:val="203"/>
        </w:trPr>
        <w:tc>
          <w:tcPr>
            <w:tcW w:w="3720" w:type="dxa"/>
            <w:vAlign w:val="bottom"/>
            <w:gridSpan w:val="2"/>
            <w:vMerge w:val="continue"/>
          </w:tcPr>
          <w:p>
            <w:pPr>
              <w:spacing w:after="0"/>
              <w:rPr>
                <w:sz w:val="17"/>
                <w:szCs w:val="17"/>
                <w:color w:val="auto"/>
              </w:rPr>
            </w:pPr>
          </w:p>
        </w:tc>
        <w:tc>
          <w:tcPr>
            <w:tcW w:w="19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Purchased</w:t>
            </w:r>
          </w:p>
        </w:tc>
        <w:tc>
          <w:tcPr>
            <w:tcW w:w="160" w:type="dxa"/>
            <w:vAlign w:val="bottom"/>
          </w:tcPr>
          <w:p>
            <w:pPr>
              <w:spacing w:after="0"/>
              <w:rPr>
                <w:sz w:val="17"/>
                <w:szCs w:val="17"/>
                <w:color w:val="auto"/>
              </w:rPr>
            </w:pPr>
          </w:p>
        </w:tc>
        <w:tc>
          <w:tcPr>
            <w:tcW w:w="17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7"/>
              </w:rPr>
              <w:t>Share</w:t>
            </w:r>
          </w:p>
        </w:tc>
        <w:tc>
          <w:tcPr>
            <w:tcW w:w="19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Program</w:t>
            </w:r>
          </w:p>
        </w:tc>
        <w:tc>
          <w:tcPr>
            <w:tcW w:w="180" w:type="dxa"/>
            <w:vAlign w:val="bottom"/>
          </w:tcPr>
          <w:p>
            <w:pPr>
              <w:spacing w:after="0"/>
              <w:rPr>
                <w:sz w:val="17"/>
                <w:szCs w:val="17"/>
                <w:color w:val="auto"/>
              </w:rPr>
            </w:pPr>
          </w:p>
        </w:tc>
        <w:tc>
          <w:tcPr>
            <w:tcW w:w="1620" w:type="dxa"/>
            <w:vAlign w:val="bottom"/>
          </w:tcPr>
          <w:p>
            <w:pPr>
              <w:jc w:val="center"/>
              <w:ind w:right="116"/>
              <w:spacing w:after="0" w:line="202" w:lineRule="exact"/>
              <w:rPr>
                <w:sz w:val="20"/>
                <w:szCs w:val="20"/>
                <w:color w:val="auto"/>
              </w:rPr>
            </w:pPr>
            <w:r>
              <w:rPr>
                <w:rFonts w:ascii="Times New Roman" w:cs="Times New Roman" w:eastAsia="Times New Roman" w:hAnsi="Times New Roman"/>
                <w:sz w:val="14"/>
                <w:szCs w:val="14"/>
                <w:b w:val="1"/>
                <w:bCs w:val="1"/>
                <w:color w:val="auto"/>
                <w:w w:val="98"/>
              </w:rPr>
              <w:t xml:space="preserve">Program </w:t>
            </w:r>
            <w:r>
              <w:rPr>
                <w:rFonts w:ascii="Times New Roman" w:cs="Times New Roman" w:eastAsia="Times New Roman" w:hAnsi="Times New Roman"/>
                <w:sz w:val="18"/>
                <w:szCs w:val="18"/>
                <w:b w:val="1"/>
                <w:bCs w:val="1"/>
                <w:color w:val="auto"/>
                <w:w w:val="98"/>
                <w:vertAlign w:val="superscript"/>
              </w:rPr>
              <w:t>(a)</w:t>
            </w:r>
          </w:p>
        </w:tc>
        <w:tc>
          <w:tcPr>
            <w:tcW w:w="0" w:type="dxa"/>
            <w:vAlign w:val="bottom"/>
          </w:tcPr>
          <w:p>
            <w:pPr>
              <w:spacing w:after="0"/>
              <w:rPr>
                <w:sz w:val="1"/>
                <w:szCs w:val="1"/>
                <w:color w:val="auto"/>
              </w:rPr>
            </w:pPr>
          </w:p>
        </w:tc>
      </w:tr>
      <w:tr>
        <w:trPr>
          <w:trHeight w:val="223"/>
        </w:trPr>
        <w:tc>
          <w:tcPr>
            <w:tcW w:w="36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October 1 - October 31, 2025</w:t>
            </w:r>
          </w:p>
        </w:tc>
        <w:tc>
          <w:tcPr>
            <w:tcW w:w="100" w:type="dxa"/>
            <w:vAlign w:val="bottom"/>
            <w:tcBorders>
              <w:top w:val="single" w:sz="8" w:color="CCEEFF"/>
            </w:tcBorders>
            <w:shd w:val="clear" w:color="auto" w:fill="CCEEFF"/>
          </w:tcPr>
          <w:p>
            <w:pPr>
              <w:spacing w:after="0"/>
              <w:rPr>
                <w:sz w:val="19"/>
                <w:szCs w:val="19"/>
                <w:color w:val="auto"/>
              </w:rPr>
            </w:pPr>
          </w:p>
        </w:tc>
        <w:tc>
          <w:tcPr>
            <w:tcW w:w="1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87,472,259</w:t>
            </w:r>
          </w:p>
        </w:tc>
        <w:tc>
          <w:tcPr>
            <w:tcW w:w="0" w:type="dxa"/>
            <w:vAlign w:val="bottom"/>
          </w:tcPr>
          <w:p>
            <w:pPr>
              <w:spacing w:after="0"/>
              <w:rPr>
                <w:sz w:val="1"/>
                <w:szCs w:val="1"/>
                <w:color w:val="auto"/>
              </w:rPr>
            </w:pPr>
          </w:p>
        </w:tc>
      </w:tr>
      <w:tr>
        <w:trPr>
          <w:trHeight w:val="229"/>
        </w:trPr>
        <w:tc>
          <w:tcPr>
            <w:tcW w:w="3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November 1 - November 30, 2025</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346,910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20.79</w:t>
            </w:r>
          </w:p>
        </w:tc>
        <w:tc>
          <w:tcPr>
            <w:tcW w:w="8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346,910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80,261,422</w:t>
            </w:r>
          </w:p>
        </w:tc>
        <w:tc>
          <w:tcPr>
            <w:tcW w:w="0" w:type="dxa"/>
            <w:vAlign w:val="bottom"/>
          </w:tcPr>
          <w:p>
            <w:pPr>
              <w:spacing w:after="0"/>
              <w:rPr>
                <w:sz w:val="1"/>
                <w:szCs w:val="1"/>
                <w:color w:val="auto"/>
              </w:rPr>
            </w:pPr>
          </w:p>
        </w:tc>
      </w:tr>
      <w:tr>
        <w:trPr>
          <w:trHeight w:val="229"/>
        </w:trPr>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1 - December 31, 2025</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350,000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22.66</w:t>
            </w:r>
          </w:p>
        </w:tc>
        <w:tc>
          <w:tcPr>
            <w:tcW w:w="80" w:type="dxa"/>
            <w:vAlign w:val="bottom"/>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350,000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72,332,062</w:t>
            </w:r>
          </w:p>
        </w:tc>
        <w:tc>
          <w:tcPr>
            <w:tcW w:w="0" w:type="dxa"/>
            <w:vAlign w:val="bottom"/>
          </w:tcPr>
          <w:p>
            <w:pPr>
              <w:spacing w:after="0"/>
              <w:rPr>
                <w:sz w:val="1"/>
                <w:szCs w:val="1"/>
                <w:color w:val="auto"/>
              </w:rPr>
            </w:pPr>
          </w:p>
        </w:tc>
      </w:tr>
      <w:tr>
        <w:trPr>
          <w:trHeight w:val="228"/>
        </w:trPr>
        <w:tc>
          <w:tcPr>
            <w:tcW w:w="37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696,910</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21.72</w:t>
            </w:r>
          </w:p>
        </w:tc>
        <w:tc>
          <w:tcPr>
            <w:tcW w:w="8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696,910</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72,332,062</w:t>
            </w:r>
          </w:p>
        </w:tc>
        <w:tc>
          <w:tcPr>
            <w:tcW w:w="0" w:type="dxa"/>
            <w:vAlign w:val="bottom"/>
          </w:tcPr>
          <w:p>
            <w:pPr>
              <w:spacing w:after="0"/>
              <w:rPr>
                <w:sz w:val="1"/>
                <w:szCs w:val="1"/>
                <w:color w:val="auto"/>
              </w:rPr>
            </w:pPr>
          </w:p>
        </w:tc>
      </w:tr>
    </w:tbl>
    <w:p>
      <w:pPr>
        <w:spacing w:after="0" w:line="179" w:lineRule="exact"/>
        <w:rPr>
          <w:sz w:val="20"/>
          <w:szCs w:val="20"/>
          <w:color w:val="auto"/>
        </w:rPr>
      </w:pPr>
    </w:p>
    <w:p>
      <w:pPr>
        <w:jc w:val="both"/>
        <w:ind w:left="180" w:hanging="172"/>
        <w:spacing w:after="0" w:line="235" w:lineRule="auto"/>
        <w:tabs>
          <w:tab w:leader="none" w:pos="199" w:val="left"/>
        </w:tabs>
        <w:numPr>
          <w:ilvl w:val="0"/>
          <w:numId w:val="2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 April 2025, the Company's Board of Directors approved a share repurchase program that authorizes the Company to repurchase up to $100.0 million of its outstanding common stock. The repurchase program has no expiration date. As of December 31, 2025, the remaining availability of the share repurchase program was $72.3 million.</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Rule 10b5-1 Trading Plans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fiscal quarter ended December 31, 2025, none of the Company’s directors or executive officers adopted or terminated any contract, instruction or written plan for the purchase or sale of Company securities that was intended to satisfy the affirmative defense conditions of Rule 10b5-1(c) or any “non-Rule 10b5-1 trading arrangement.”</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40"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1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4.1</w:t>
            </w:r>
          </w:p>
        </w:tc>
        <w:tc>
          <w:tcPr>
            <w:tcW w:w="10100" w:type="dxa"/>
            <w:vAlign w:val="bottom"/>
            <w:gridSpan w:val="8"/>
          </w:tcPr>
          <w:p>
            <w:pPr>
              <w:spacing w:after="0"/>
              <w:rPr>
                <w:rFonts w:ascii="Times New Roman" w:cs="Times New Roman" w:eastAsia="Times New Roman" w:hAnsi="Times New Roman"/>
                <w:sz w:val="18"/>
                <w:szCs w:val="18"/>
                <w:color w:val="0000FF"/>
              </w:rPr>
            </w:pPr>
            <w:hyperlink r:id="rId53">
              <w:r>
                <w:rPr>
                  <w:rFonts w:ascii="Times New Roman" w:cs="Times New Roman" w:eastAsia="Times New Roman" w:hAnsi="Times New Roman"/>
                  <w:sz w:val="18"/>
                  <w:szCs w:val="18"/>
                  <w:color w:val="0000FF"/>
                </w:rPr>
                <w:t>Rights Agreement for the Protection of NOLs and Energy-Efficiency Tax Credits, dated as of November 12, 2025, between Beazer Homes</w:t>
              </w:r>
            </w:hyperlink>
          </w:p>
        </w:tc>
        <w:tc>
          <w:tcPr>
            <w:tcW w:w="0" w:type="dxa"/>
            <w:vAlign w:val="bottom"/>
          </w:tcPr>
          <w:p>
            <w:pPr>
              <w:spacing w:after="0"/>
              <w:rPr>
                <w:sz w:val="1"/>
                <w:szCs w:val="1"/>
                <w:color w:val="auto"/>
              </w:rPr>
            </w:pPr>
          </w:p>
        </w:tc>
      </w:tr>
      <w:tr>
        <w:trPr>
          <w:trHeight w:val="156"/>
        </w:trPr>
        <w:tc>
          <w:tcPr>
            <w:tcW w:w="1100" w:type="dxa"/>
            <w:vAlign w:val="bottom"/>
            <w:vMerge w:val="continue"/>
          </w:tcPr>
          <w:p>
            <w:pPr>
              <w:spacing w:after="0"/>
              <w:rPr>
                <w:sz w:val="13"/>
                <w:szCs w:val="13"/>
                <w:color w:val="auto"/>
              </w:rPr>
            </w:pPr>
          </w:p>
        </w:tc>
        <w:tc>
          <w:tcPr>
            <w:tcW w:w="10060" w:type="dxa"/>
            <w:vAlign w:val="bottom"/>
            <w:tcBorders>
              <w:top w:val="single" w:sz="8" w:color="0000FF"/>
              <w:bottom w:val="single" w:sz="8" w:color="0000FF"/>
            </w:tcBorders>
            <w:gridSpan w:val="6"/>
          </w:tcPr>
          <w:p>
            <w:pPr>
              <w:spacing w:after="0" w:line="156" w:lineRule="exact"/>
              <w:rPr>
                <w:rFonts w:ascii="Times New Roman" w:cs="Times New Roman" w:eastAsia="Times New Roman" w:hAnsi="Times New Roman"/>
                <w:sz w:val="18"/>
                <w:szCs w:val="18"/>
                <w:color w:val="0000FF"/>
                <w:w w:val="99"/>
              </w:rPr>
            </w:pPr>
            <w:hyperlink r:id="rId53">
              <w:r>
                <w:rPr>
                  <w:rFonts w:ascii="Times New Roman" w:cs="Times New Roman" w:eastAsia="Times New Roman" w:hAnsi="Times New Roman"/>
                  <w:sz w:val="18"/>
                  <w:szCs w:val="18"/>
                  <w:color w:val="0000FF"/>
                  <w:w w:val="99"/>
                </w:rPr>
                <w:t>USA, Inc. and Equiniti Trust Company, LLC, as Rights Agent (incorporated herein by reference to Exhibit 4.1 of the Company's Form 8-K</w:t>
              </w:r>
            </w:hyperlink>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100" w:type="dxa"/>
            <w:vAlign w:val="bottom"/>
          </w:tcPr>
          <w:p>
            <w:pPr>
              <w:spacing w:after="0"/>
              <w:rPr>
                <w:sz w:val="14"/>
                <w:szCs w:val="14"/>
                <w:color w:val="auto"/>
              </w:rPr>
            </w:pPr>
          </w:p>
        </w:tc>
        <w:tc>
          <w:tcPr>
            <w:tcW w:w="2100" w:type="dxa"/>
            <w:vAlign w:val="bottom"/>
            <w:tcBorders>
              <w:bottom w:val="single" w:sz="8" w:color="0000FF"/>
            </w:tcBorders>
          </w:tcPr>
          <w:p>
            <w:pPr>
              <w:spacing w:after="0" w:line="169" w:lineRule="exact"/>
              <w:rPr>
                <w:rFonts w:ascii="Times New Roman" w:cs="Times New Roman" w:eastAsia="Times New Roman" w:hAnsi="Times New Roman"/>
                <w:sz w:val="18"/>
                <w:szCs w:val="18"/>
                <w:color w:val="0000FF"/>
                <w:w w:val="99"/>
              </w:rPr>
            </w:pPr>
            <w:hyperlink r:id="rId53">
              <w:r>
                <w:rPr>
                  <w:rFonts w:ascii="Times New Roman" w:cs="Times New Roman" w:eastAsia="Times New Roman" w:hAnsi="Times New Roman"/>
                  <w:sz w:val="18"/>
                  <w:szCs w:val="18"/>
                  <w:color w:val="0000FF"/>
                  <w:w w:val="99"/>
                </w:rPr>
                <w:t>filed on November 13, 2025)</w:t>
              </w:r>
            </w:hyperlink>
          </w:p>
        </w:tc>
        <w:tc>
          <w:tcPr>
            <w:tcW w:w="7980" w:type="dxa"/>
            <w:vAlign w:val="bottom"/>
            <w:gridSpan w:val="6"/>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4"/>
        </w:trPr>
        <w:tc>
          <w:tcPr>
            <w:tcW w:w="11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10.1</w:t>
            </w:r>
          </w:p>
        </w:tc>
        <w:tc>
          <w:tcPr>
            <w:tcW w:w="1008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rPr>
              <w:t>Second Amendment to the Existing Credit Agreement, dated January 13, 2026, by and among Beazer Homes USA, Inc. and JPMorgan</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5"/>
        </w:trPr>
        <w:tc>
          <w:tcPr>
            <w:tcW w:w="1100" w:type="dxa"/>
            <w:vAlign w:val="bottom"/>
            <w:vMerge w:val="continue"/>
          </w:tcPr>
          <w:p>
            <w:pPr>
              <w:spacing w:after="0"/>
              <w:rPr>
                <w:sz w:val="10"/>
                <w:szCs w:val="10"/>
                <w:color w:val="auto"/>
              </w:rPr>
            </w:pPr>
          </w:p>
        </w:tc>
        <w:tc>
          <w:tcPr>
            <w:tcW w:w="10100" w:type="dxa"/>
            <w:vAlign w:val="bottom"/>
            <w:gridSpan w:val="8"/>
            <w:vMerge w:val="restart"/>
          </w:tcPr>
          <w:p>
            <w:pPr>
              <w:spacing w:after="0" w:line="156" w:lineRule="exact"/>
              <w:rPr>
                <w:sz w:val="20"/>
                <w:szCs w:val="20"/>
                <w:color w:val="auto"/>
              </w:rPr>
            </w:pPr>
            <w:r>
              <w:rPr>
                <w:rFonts w:ascii="Times New Roman" w:cs="Times New Roman" w:eastAsia="Times New Roman" w:hAnsi="Times New Roman"/>
                <w:sz w:val="18"/>
                <w:szCs w:val="18"/>
                <w:color w:val="0000FF"/>
              </w:rPr>
              <w:t>Chase Bank, N.A., as administrative agent and the lenders party thereto</w:t>
            </w:r>
          </w:p>
        </w:tc>
        <w:tc>
          <w:tcPr>
            <w:tcW w:w="0" w:type="dxa"/>
            <w:vAlign w:val="bottom"/>
          </w:tcPr>
          <w:p>
            <w:pPr>
              <w:spacing w:after="0"/>
              <w:rPr>
                <w:sz w:val="1"/>
                <w:szCs w:val="1"/>
                <w:color w:val="auto"/>
              </w:rPr>
            </w:pPr>
          </w:p>
        </w:tc>
      </w:tr>
      <w:tr>
        <w:trPr>
          <w:trHeight w:val="40"/>
        </w:trPr>
        <w:tc>
          <w:tcPr>
            <w:tcW w:w="1100" w:type="dxa"/>
            <w:vAlign w:val="bottom"/>
          </w:tcPr>
          <w:p>
            <w:pPr>
              <w:spacing w:after="0"/>
              <w:rPr>
                <w:sz w:val="3"/>
                <w:szCs w:val="3"/>
                <w:color w:val="auto"/>
              </w:rPr>
            </w:pPr>
          </w:p>
        </w:tc>
        <w:tc>
          <w:tcPr>
            <w:tcW w:w="10100" w:type="dxa"/>
            <w:vAlign w:val="bottom"/>
            <w:gridSpan w:val="8"/>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5140" w:type="dxa"/>
            <w:vAlign w:val="bottom"/>
            <w:gridSpan w:val="2"/>
            <w:shd w:val="clear" w:color="auto" w:fill="0000FF"/>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22.1</w:t>
            </w:r>
          </w:p>
        </w:tc>
        <w:tc>
          <w:tcPr>
            <w:tcW w:w="9520" w:type="dxa"/>
            <w:vAlign w:val="bottom"/>
            <w:tcBorders>
              <w:bottom w:val="single" w:sz="8" w:color="0000FF"/>
            </w:tcBorders>
            <w:gridSpan w:val="4"/>
          </w:tcPr>
          <w:p>
            <w:pPr>
              <w:spacing w:after="0"/>
              <w:rPr>
                <w:rFonts w:ascii="Times New Roman" w:cs="Times New Roman" w:eastAsia="Times New Roman" w:hAnsi="Times New Roman"/>
                <w:sz w:val="18"/>
                <w:szCs w:val="18"/>
                <w:color w:val="0000FF"/>
                <w:w w:val="99"/>
              </w:rPr>
            </w:pPr>
            <w:hyperlink r:id="rId54">
              <w:r>
                <w:rPr>
                  <w:rFonts w:ascii="Times New Roman" w:cs="Times New Roman" w:eastAsia="Times New Roman" w:hAnsi="Times New Roman"/>
                  <w:sz w:val="18"/>
                  <w:szCs w:val="18"/>
                  <w:color w:val="0000FF"/>
                  <w:w w:val="99"/>
                </w:rPr>
                <w:t>List of Guarantor Subsidiaries (incorporated herein by reference to Exhibit 22.1 of the Company's Form 10-Q filed on May 1, 2024)</w:t>
              </w:r>
            </w:hyperlink>
          </w:p>
        </w:tc>
        <w:tc>
          <w:tcPr>
            <w:tcW w:w="58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1006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Certification of Chief Executive Officer pursuant to 17 CFR 240.13a-14 promulgated under Section 302 of the Sarbanes-Oxley Act of 2002</w:t>
            </w:r>
          </w:p>
        </w:tc>
        <w:tc>
          <w:tcPr>
            <w:tcW w:w="40" w:type="dxa"/>
            <w:vAlign w:val="bottom"/>
            <w:gridSpan w:val="2"/>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1010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pursuant to 17 CFR 240.13a-14 promulgated under Section 302 of the Sarbanes-Oxley Act of 2002</w:t>
            </w:r>
          </w:p>
        </w:tc>
        <w:tc>
          <w:tcPr>
            <w:tcW w:w="0" w:type="dxa"/>
            <w:vAlign w:val="bottom"/>
          </w:tcPr>
          <w:p>
            <w:pPr>
              <w:spacing w:after="0"/>
              <w:rPr>
                <w:sz w:val="1"/>
                <w:szCs w:val="1"/>
                <w:color w:val="auto"/>
              </w:rPr>
            </w:pPr>
          </w:p>
        </w:tc>
      </w:tr>
      <w:tr>
        <w:trPr>
          <w:trHeight w:val="263"/>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10000" w:type="dxa"/>
            <w:vAlign w:val="bottom"/>
            <w:tcBorders>
              <w:top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rPr>
              <w:t>Certification pursuant to 18 U.S.C. Section 1350, as adopted pursuant to Section 906 of the Sarbanes-Oxley Act of 2002</w:t>
            </w:r>
          </w:p>
        </w:tc>
        <w:tc>
          <w:tcPr>
            <w:tcW w:w="100" w:type="dxa"/>
            <w:vAlign w:val="bottom"/>
            <w:gridSpan w:val="3"/>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8660" w:type="dxa"/>
            <w:vAlign w:val="bottom"/>
            <w:gridSpan w:val="3"/>
            <w:shd w:val="clear" w:color="auto" w:fill="0000FF"/>
          </w:tcPr>
          <w:p>
            <w:pPr>
              <w:spacing w:after="0" w:line="20" w:lineRule="exact"/>
              <w:rPr>
                <w:sz w:val="1"/>
                <w:szCs w:val="1"/>
                <w:color w:val="auto"/>
              </w:rPr>
            </w:pPr>
          </w:p>
        </w:tc>
        <w:tc>
          <w:tcPr>
            <w:tcW w:w="144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1010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Certification pursuant to 18 U.S.C. Section 1350, as adopted pursuant to Section 906 of the Sarbanes-Oxley Act of 2002</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3040" w:type="dxa"/>
            <w:vAlign w:val="bottom"/>
            <w:shd w:val="clear" w:color="auto" w:fill="0000FF"/>
          </w:tcPr>
          <w:p>
            <w:pPr>
              <w:spacing w:after="0" w:line="20" w:lineRule="exact"/>
              <w:rPr>
                <w:sz w:val="1"/>
                <w:szCs w:val="1"/>
                <w:color w:val="auto"/>
              </w:rPr>
            </w:pPr>
          </w:p>
        </w:tc>
        <w:tc>
          <w:tcPr>
            <w:tcW w:w="3520" w:type="dxa"/>
            <w:vAlign w:val="bottom"/>
            <w:shd w:val="clear" w:color="auto" w:fill="0000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ind w:left="1120" w:hanging="1094"/>
        <w:spacing w:after="0"/>
        <w:tabs>
          <w:tab w:leader="none" w:pos="1120" w:val="left"/>
        </w:tabs>
        <w:numPr>
          <w:ilvl w:val="0"/>
          <w:numId w:val="26"/>
        </w:numPr>
        <w:rPr>
          <w:rFonts w:ascii="Times New Roman" w:cs="Times New Roman" w:eastAsia="Times New Roman" w:hAnsi="Times New Roman"/>
          <w:sz w:val="32"/>
          <w:szCs w:val="32"/>
          <w:color w:val="auto"/>
          <w:vertAlign w:val="subscript"/>
        </w:rPr>
      </w:pPr>
      <w:r>
        <w:rPr>
          <w:rFonts w:ascii="Times New Roman" w:cs="Times New Roman" w:eastAsia="Times New Roman" w:hAnsi="Times New Roman"/>
          <w:sz w:val="16"/>
          <w:szCs w:val="16"/>
          <w:color w:val="auto"/>
        </w:rPr>
        <w:t>The condensed consolidated financial statements and accompanying notes in Part I, Financial Information on Form 10-Q are formatted in Inline XBRL</w:t>
      </w:r>
    </w:p>
    <w:p>
      <w:pPr>
        <w:spacing w:after="0" w:line="105" w:lineRule="exact"/>
        <w:rPr>
          <w:sz w:val="20"/>
          <w:szCs w:val="20"/>
          <w:color w:val="auto"/>
        </w:rPr>
      </w:pPr>
    </w:p>
    <w:p>
      <w:pPr>
        <w:ind w:left="1120" w:hanging="1094"/>
        <w:spacing w:after="0"/>
        <w:tabs>
          <w:tab w:leader="none" w:pos="112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in Inline XBRL and contained in Exhibit 101)</w:t>
      </w:r>
    </w:p>
    <w:p>
      <w:pPr>
        <w:spacing w:after="0" w:line="265" w:lineRule="exact"/>
        <w:rPr>
          <w:rFonts w:ascii="Times New Roman" w:cs="Times New Roman" w:eastAsia="Times New Roman" w:hAnsi="Times New Roman"/>
          <w:sz w:val="18"/>
          <w:szCs w:val="18"/>
          <w:color w:val="auto"/>
        </w:rPr>
      </w:pPr>
    </w:p>
    <w:p>
      <w:pPr>
        <w:ind w:left="140" w:hanging="132"/>
        <w:spacing w:after="0"/>
        <w:tabs>
          <w:tab w:leader="none" w:pos="1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not filed.</w:t>
      </w:r>
    </w:p>
    <w:p>
      <w:pPr>
        <w:spacing w:after="0" w:line="200" w:lineRule="exact"/>
        <w:rPr>
          <w:sz w:val="20"/>
          <w:szCs w:val="20"/>
          <w:color w:val="auto"/>
        </w:rPr>
      </w:pP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391"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Date:   January 29, 2026</w:t>
            </w:r>
          </w:p>
        </w:tc>
        <w:tc>
          <w:tcPr>
            <w:tcW w:w="4080" w:type="dxa"/>
            <w:vAlign w:val="bottom"/>
            <w:gridSpan w:val="2"/>
          </w:tcPr>
          <w:p>
            <w:pPr>
              <w:ind w:left="1820"/>
              <w:spacing w:after="0"/>
              <w:rPr>
                <w:sz w:val="20"/>
                <w:szCs w:val="20"/>
                <w:color w:val="auto"/>
              </w:rPr>
            </w:pPr>
            <w:r>
              <w:rPr>
                <w:rFonts w:ascii="Times New Roman" w:cs="Times New Roman" w:eastAsia="Times New Roman" w:hAnsi="Times New Roman"/>
                <w:sz w:val="18"/>
                <w:szCs w:val="18"/>
                <w:color w:val="auto"/>
              </w:rPr>
              <w:t>Beazer Homes USA, Inc.</w:t>
            </w:r>
          </w:p>
        </w:tc>
        <w:tc>
          <w:tcPr>
            <w:tcW w:w="3420" w:type="dxa"/>
            <w:vAlign w:val="bottom"/>
          </w:tcPr>
          <w:p>
            <w:pPr>
              <w:spacing w:after="0"/>
              <w:rPr>
                <w:sz w:val="20"/>
                <w:szCs w:val="20"/>
                <w:color w:val="auto"/>
              </w:rPr>
            </w:pPr>
          </w:p>
        </w:tc>
      </w:tr>
      <w:tr>
        <w:trPr>
          <w:trHeight w:val="499"/>
        </w:trPr>
        <w:tc>
          <w:tcPr>
            <w:tcW w:w="3700" w:type="dxa"/>
            <w:vAlign w:val="bottom"/>
          </w:tcPr>
          <w:p>
            <w:pPr>
              <w:spacing w:after="0"/>
              <w:rPr>
                <w:sz w:val="24"/>
                <w:szCs w:val="24"/>
                <w:color w:val="auto"/>
              </w:rPr>
            </w:pPr>
          </w:p>
        </w:tc>
        <w:tc>
          <w:tcPr>
            <w:tcW w:w="4080" w:type="dxa"/>
            <w:vAlign w:val="bottom"/>
            <w:gridSpan w:val="2"/>
          </w:tcPr>
          <w:p>
            <w:pPr>
              <w:ind w:left="1820"/>
              <w:spacing w:after="0"/>
              <w:rPr>
                <w:sz w:val="20"/>
                <w:szCs w:val="20"/>
                <w:color w:val="auto"/>
              </w:rPr>
            </w:pPr>
            <w:r>
              <w:rPr>
                <w:rFonts w:ascii="Times New Roman" w:cs="Times New Roman" w:eastAsia="Times New Roman" w:hAnsi="Times New Roman"/>
                <w:sz w:val="18"/>
                <w:szCs w:val="18"/>
                <w:color w:val="auto"/>
              </w:rPr>
              <w:t>By:</w:t>
            </w:r>
          </w:p>
        </w:tc>
        <w:tc>
          <w:tcPr>
            <w:tcW w:w="3420" w:type="dxa"/>
            <w:vAlign w:val="bottom"/>
          </w:tcPr>
          <w:p>
            <w:pPr>
              <w:jc w:val="center"/>
              <w:ind w:right="904"/>
              <w:spacing w:after="0"/>
              <w:rPr>
                <w:sz w:val="20"/>
                <w:szCs w:val="20"/>
                <w:color w:val="auto"/>
              </w:rPr>
            </w:pPr>
            <w:r>
              <w:rPr>
                <w:rFonts w:ascii="Times New Roman" w:cs="Times New Roman" w:eastAsia="Times New Roman" w:hAnsi="Times New Roman"/>
                <w:sz w:val="18"/>
                <w:szCs w:val="18"/>
                <w:color w:val="auto"/>
                <w:w w:val="99"/>
              </w:rPr>
              <w:t>/s/ David I. Goldberg</w:t>
            </w:r>
          </w:p>
        </w:tc>
      </w:tr>
      <w:tr>
        <w:trPr>
          <w:trHeight w:val="212"/>
        </w:trPr>
        <w:tc>
          <w:tcPr>
            <w:tcW w:w="37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740" w:type="dxa"/>
            <w:vAlign w:val="bottom"/>
            <w:tcBorders>
              <w:top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Name:</w:t>
            </w:r>
          </w:p>
        </w:tc>
        <w:tc>
          <w:tcPr>
            <w:tcW w:w="3420" w:type="dxa"/>
            <w:vAlign w:val="bottom"/>
            <w:tcBorders>
              <w:top w:val="single" w:sz="8" w:color="auto"/>
            </w:tcBorders>
          </w:tcPr>
          <w:p>
            <w:pPr>
              <w:jc w:val="center"/>
              <w:ind w:right="904"/>
              <w:spacing w:after="0"/>
              <w:rPr>
                <w:sz w:val="20"/>
                <w:szCs w:val="20"/>
                <w:color w:val="auto"/>
              </w:rPr>
            </w:pPr>
            <w:r>
              <w:rPr>
                <w:rFonts w:ascii="Times New Roman" w:cs="Times New Roman" w:eastAsia="Times New Roman" w:hAnsi="Times New Roman"/>
                <w:sz w:val="14"/>
                <w:szCs w:val="14"/>
                <w:b w:val="1"/>
                <w:bCs w:val="1"/>
                <w:color w:val="auto"/>
              </w:rPr>
              <w:t>David I. Goldberg</w:t>
            </w:r>
          </w:p>
        </w:tc>
      </w:tr>
      <w:tr>
        <w:trPr>
          <w:trHeight w:val="148"/>
        </w:trPr>
        <w:tc>
          <w:tcPr>
            <w:tcW w:w="370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3420" w:type="dxa"/>
            <w:vAlign w:val="bottom"/>
          </w:tcPr>
          <w:p>
            <w:pPr>
              <w:jc w:val="center"/>
              <w:ind w:right="904"/>
              <w:spacing w:after="0" w:line="149" w:lineRule="exact"/>
              <w:rPr>
                <w:sz w:val="20"/>
                <w:szCs w:val="20"/>
                <w:color w:val="auto"/>
              </w:rPr>
            </w:pPr>
            <w:r>
              <w:rPr>
                <w:rFonts w:ascii="Times New Roman" w:cs="Times New Roman" w:eastAsia="Times New Roman" w:hAnsi="Times New Roman"/>
                <w:sz w:val="14"/>
                <w:szCs w:val="14"/>
                <w:b w:val="1"/>
                <w:bCs w:val="1"/>
                <w:color w:val="auto"/>
              </w:rPr>
              <w:t>Senior Vice President and</w:t>
            </w:r>
          </w:p>
        </w:tc>
      </w:tr>
      <w:tr>
        <w:trPr>
          <w:trHeight w:val="190"/>
        </w:trPr>
        <w:tc>
          <w:tcPr>
            <w:tcW w:w="370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3420" w:type="dxa"/>
            <w:vAlign w:val="bottom"/>
          </w:tcPr>
          <w:p>
            <w:pPr>
              <w:jc w:val="center"/>
              <w:ind w:right="904"/>
              <w:spacing w:after="0"/>
              <w:rPr>
                <w:sz w:val="20"/>
                <w:szCs w:val="20"/>
                <w:color w:val="auto"/>
              </w:rPr>
            </w:pPr>
            <w:r>
              <w:rPr>
                <w:rFonts w:ascii="Times New Roman" w:cs="Times New Roman" w:eastAsia="Times New Roman" w:hAnsi="Times New Roman"/>
                <w:sz w:val="14"/>
                <w:szCs w:val="14"/>
                <w:b w:val="1"/>
                <w:bCs w:val="1"/>
                <w:color w:val="auto"/>
              </w:rPr>
              <w:t>Chief Financial Officer</w:t>
            </w:r>
          </w:p>
        </w:tc>
      </w:tr>
      <w:tr>
        <w:trPr>
          <w:trHeight w:val="864"/>
        </w:trPr>
        <w:tc>
          <w:tcPr>
            <w:tcW w:w="3700" w:type="dxa"/>
            <w:vAlign w:val="bottom"/>
          </w:tcPr>
          <w:p>
            <w:pPr>
              <w:spacing w:after="0"/>
              <w:rPr>
                <w:sz w:val="24"/>
                <w:szCs w:val="24"/>
                <w:color w:val="auto"/>
              </w:rPr>
            </w:pPr>
          </w:p>
        </w:tc>
        <w:tc>
          <w:tcPr>
            <w:tcW w:w="2340" w:type="dxa"/>
            <w:vAlign w:val="bottom"/>
          </w:tcPr>
          <w:p>
            <w:pPr>
              <w:ind w:left="1840"/>
              <w:spacing w:after="0"/>
              <w:rPr>
                <w:sz w:val="20"/>
                <w:szCs w:val="20"/>
                <w:color w:val="auto"/>
              </w:rPr>
            </w:pPr>
            <w:r>
              <w:rPr>
                <w:rFonts w:ascii="Times New Roman" w:cs="Times New Roman" w:eastAsia="Times New Roman" w:hAnsi="Times New Roman"/>
                <w:sz w:val="14"/>
                <w:szCs w:val="14"/>
                <w:color w:val="auto"/>
              </w:rPr>
              <w:t>41</w:t>
            </w:r>
          </w:p>
        </w:tc>
        <w:tc>
          <w:tcPr>
            <w:tcW w:w="1740" w:type="dxa"/>
            <w:vAlign w:val="bottom"/>
          </w:tcPr>
          <w:p>
            <w:pPr>
              <w:spacing w:after="0"/>
              <w:rPr>
                <w:sz w:val="24"/>
                <w:szCs w:val="24"/>
                <w:color w:val="auto"/>
              </w:rPr>
            </w:pPr>
          </w:p>
        </w:tc>
        <w:tc>
          <w:tcPr>
            <w:tcW w:w="3420" w:type="dxa"/>
            <w:vAlign w:val="bottom"/>
          </w:tcPr>
          <w:p>
            <w:pPr>
              <w:spacing w:after="0"/>
              <w:rPr>
                <w:sz w:val="24"/>
                <w:szCs w:val="24"/>
                <w:color w:val="auto"/>
              </w:rPr>
            </w:pPr>
          </w:p>
        </w:tc>
      </w:tr>
    </w:tbl>
    <w:p>
      <w:pPr>
        <w:sectPr>
          <w:pgSz w:w="11900" w:h="16838" w:orient="portrait"/>
          <w:cols w:equalWidth="0" w:num="1">
            <w:col w:w="11240"/>
          </w:cols>
          <w:pgMar w:left="320" w:top="118" w:right="339" w:bottom="1440" w:gutter="0" w:footer="0" w:header="0"/>
        </w:sectPr>
      </w:pPr>
    </w:p>
    <w:bookmarkStart w:id="42" w:name="page43"/>
    <w:bookmarkEnd w:id="42"/>
    <w:p>
      <w:pPr>
        <w:ind w:left="10120"/>
        <w:spacing w:after="0"/>
        <w:rPr>
          <w:sz w:val="20"/>
          <w:szCs w:val="20"/>
          <w:color w:val="auto"/>
        </w:rPr>
      </w:pPr>
      <w:r>
        <w:rPr>
          <w:rFonts w:ascii="Times New Roman" w:cs="Times New Roman" w:eastAsia="Times New Roman" w:hAnsi="Times New Roman"/>
          <w:sz w:val="21"/>
          <w:szCs w:val="21"/>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SECOND AMENDMENT</w:t>
      </w:r>
    </w:p>
    <w:p>
      <w:pPr>
        <w:spacing w:after="0" w:line="108"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0"/>
          <w:szCs w:val="20"/>
          <w:color w:val="auto"/>
        </w:rPr>
        <w:t>This Second Amendment to the Existing Credit Agreement (as defined below), dated as of January 13, 2026 (this “</w:t>
      </w:r>
      <w:r>
        <w:rPr>
          <w:rFonts w:ascii="Times New Roman" w:cs="Times New Roman" w:eastAsia="Times New Roman" w:hAnsi="Times New Roman"/>
          <w:sz w:val="20"/>
          <w:szCs w:val="20"/>
          <w:u w:val="single" w:color="auto"/>
          <w:color w:val="auto"/>
        </w:rPr>
        <w:t>Amendment</w:t>
      </w:r>
      <w:r>
        <w:rPr>
          <w:rFonts w:ascii="Times New Roman" w:cs="Times New Roman" w:eastAsia="Times New Roman" w:hAnsi="Times New Roman"/>
          <w:sz w:val="20"/>
          <w:szCs w:val="20"/>
          <w:color w:val="auto"/>
        </w:rPr>
        <w:t>”), among BEAZER HOMES USA, INC., a Delaware corporation (the “</w:t>
      </w:r>
      <w:r>
        <w:rPr>
          <w:rFonts w:ascii="Times New Roman" w:cs="Times New Roman" w:eastAsia="Times New Roman" w:hAnsi="Times New Roman"/>
          <w:sz w:val="20"/>
          <w:szCs w:val="20"/>
          <w:u w:val="single" w:color="auto"/>
          <w:color w:val="auto"/>
        </w:rPr>
        <w:t>Borrower</w:t>
      </w:r>
      <w:r>
        <w:rPr>
          <w:rFonts w:ascii="Times New Roman" w:cs="Times New Roman" w:eastAsia="Times New Roman" w:hAnsi="Times New Roman"/>
          <w:sz w:val="20"/>
          <w:szCs w:val="20"/>
          <w:color w:val="auto"/>
        </w:rPr>
        <w:t>”), each Guarantor (as defined in the Existing Credit Agreement) party hereto, each Lender (as defined in the Existing Credit Agreement) party hereto (such Lenders constituting the Required Lenders under the Existing Credit Agreement) and JPMORGAN CHASE BANK, N.A., as administrative agent (in such capacity, the “</w:t>
      </w:r>
      <w:r>
        <w:rPr>
          <w:rFonts w:ascii="Times New Roman" w:cs="Times New Roman" w:eastAsia="Times New Roman" w:hAnsi="Times New Roman"/>
          <w:sz w:val="20"/>
          <w:szCs w:val="20"/>
          <w:u w:val="single" w:color="auto"/>
          <w:color w:val="auto"/>
        </w:rPr>
        <w:t>Administrative Agent</w:t>
      </w:r>
      <w:r>
        <w:rPr>
          <w:rFonts w:ascii="Times New Roman" w:cs="Times New Roman" w:eastAsia="Times New Roman" w:hAnsi="Times New Roman"/>
          <w:sz w:val="20"/>
          <w:szCs w:val="20"/>
          <w:color w:val="auto"/>
        </w:rPr>
        <w:t>”).</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W I T N E S S E T H</w:t>
      </w:r>
      <w:r>
        <w:rPr>
          <w:rFonts w:ascii="Times New Roman" w:cs="Times New Roman" w:eastAsia="Times New Roman" w:hAnsi="Times New Roman"/>
          <w:sz w:val="20"/>
          <w:szCs w:val="20"/>
          <w:color w:val="auto"/>
        </w:rPr>
        <w:t>:</w:t>
      </w:r>
    </w:p>
    <w:p>
      <w:pPr>
        <w:spacing w:after="0" w:line="337"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0"/>
          <w:szCs w:val="20"/>
          <w:color w:val="auto"/>
        </w:rPr>
        <w:t>WHEREAS, the Borrower, the Lenders party hereto (such Lenders constituting the Required Lenders under the Existing Credit Agreement) and the Administrative Agent are parties to the Credit Agreement dated as of October 13, 2022 (as modified by that certain Commitment Increase Activation Notice, dated as of October 12, 2023, that certain Commitment Increase Activation Notice and New Lender Supplement, dated as of October 12, 2023, that certain First Amendment, dated as of March 15, 2024, that certain Commitment Increase Activation Notice, dated as of January 28, 2025, that certain Commitment Increase Activation Notice and New Lender Supplement, dated as of January 28, 2025, and that certain L/C Commitment Increase Notice, dated as of August 18, 2025, and as further amended, supplemented or otherwise modified from time to time prior to the date hereof, the “</w:t>
      </w:r>
      <w:r>
        <w:rPr>
          <w:rFonts w:ascii="Times New Roman" w:cs="Times New Roman" w:eastAsia="Times New Roman" w:hAnsi="Times New Roman"/>
          <w:sz w:val="20"/>
          <w:szCs w:val="20"/>
          <w:u w:val="single" w:color="auto"/>
          <w:color w:val="auto"/>
        </w:rPr>
        <w:t>Existing Credit Agreement</w:t>
      </w:r>
      <w:r>
        <w:rPr>
          <w:rFonts w:ascii="Times New Roman" w:cs="Times New Roman" w:eastAsia="Times New Roman" w:hAnsi="Times New Roman"/>
          <w:sz w:val="20"/>
          <w:szCs w:val="20"/>
          <w:color w:val="auto"/>
        </w:rPr>
        <w:t>”, and as amended by this Amendment, the “</w:t>
      </w:r>
      <w:r>
        <w:rPr>
          <w:rFonts w:ascii="Times New Roman" w:cs="Times New Roman" w:eastAsia="Times New Roman" w:hAnsi="Times New Roman"/>
          <w:sz w:val="20"/>
          <w:szCs w:val="20"/>
          <w:u w:val="single" w:color="auto"/>
          <w:color w:val="auto"/>
        </w:rPr>
        <w:t>Amended Credit Agreement</w:t>
      </w:r>
      <w:r>
        <w:rPr>
          <w:rFonts w:ascii="Times New Roman" w:cs="Times New Roman" w:eastAsia="Times New Roman" w:hAnsi="Times New Roman"/>
          <w:sz w:val="20"/>
          <w:szCs w:val="20"/>
          <w:color w:val="auto"/>
        </w:rPr>
        <w:t>”), by and among the Borrower, the Lenders and Issuing Lenders party thereto from time to time and the Administrative Agent; and</w:t>
      </w:r>
    </w:p>
    <w:p>
      <w:pPr>
        <w:spacing w:after="0" w:line="193"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0"/>
          <w:szCs w:val="20"/>
          <w:color w:val="auto"/>
        </w:rPr>
        <w:t xml:space="preserve">WHEREAS, in accordance with the provisions of Section 10.1 of the Existing Credit Agreement, the Borrower has requested, and the Lenders party hereto (such Lenders constituting the Required Lenders under the Existing Credit Agreement) have agreed, subject to the terms and conditions set forth herein and in the Existing Credit Agreement, to amend the Existing Credit Agreement as set forth in </w:t>
      </w:r>
      <w:r>
        <w:rPr>
          <w:rFonts w:ascii="Times New Roman" w:cs="Times New Roman" w:eastAsia="Times New Roman" w:hAnsi="Times New Roman"/>
          <w:sz w:val="20"/>
          <w:szCs w:val="20"/>
          <w:u w:val="single" w:color="auto"/>
          <w:color w:val="auto"/>
        </w:rPr>
        <w:t>Section 2</w:t>
      </w:r>
      <w:r>
        <w:rPr>
          <w:rFonts w:ascii="Times New Roman" w:cs="Times New Roman" w:eastAsia="Times New Roman" w:hAnsi="Times New Roman"/>
          <w:sz w:val="20"/>
          <w:szCs w:val="20"/>
          <w:color w:val="auto"/>
        </w:rPr>
        <w:t xml:space="preserve"> of this Amendment.</w:t>
      </w:r>
    </w:p>
    <w:p>
      <w:pPr>
        <w:spacing w:after="0" w:line="17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0"/>
          <w:szCs w:val="20"/>
          <w:color w:val="auto"/>
        </w:rPr>
        <w:t>NOW, THEREFORE, in consideration of the premises contained herein, the parties hereto agree as follows:</w:t>
      </w:r>
    </w:p>
    <w:p>
      <w:pPr>
        <w:spacing w:after="0" w:line="229"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 xml:space="preserve">SECTION 1. </w:t>
      </w:r>
      <w:r>
        <w:rPr>
          <w:rFonts w:ascii="Times New Roman" w:cs="Times New Roman" w:eastAsia="Times New Roman" w:hAnsi="Times New Roman"/>
          <w:sz w:val="20"/>
          <w:szCs w:val="20"/>
          <w:u w:val="single" w:color="auto"/>
          <w:color w:val="auto"/>
        </w:rPr>
        <w:t>Defined Terms</w:t>
      </w:r>
      <w:r>
        <w:rPr>
          <w:rFonts w:ascii="Times New Roman" w:cs="Times New Roman" w:eastAsia="Times New Roman" w:hAnsi="Times New Roman"/>
          <w:sz w:val="20"/>
          <w:szCs w:val="20"/>
          <w:color w:val="auto"/>
        </w:rPr>
        <w:t>. Unless otherwise defined herein, capitalized terms are used herein as defined in the Existing Credit Agreement.</w:t>
      </w:r>
    </w:p>
    <w:p>
      <w:pPr>
        <w:spacing w:after="0" w:line="173"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 xml:space="preserve">SECTION 2. </w:t>
      </w:r>
      <w:r>
        <w:rPr>
          <w:rFonts w:ascii="Times New Roman" w:cs="Times New Roman" w:eastAsia="Times New Roman" w:hAnsi="Times New Roman"/>
          <w:sz w:val="20"/>
          <w:szCs w:val="20"/>
          <w:u w:val="single" w:color="auto"/>
          <w:color w:val="auto"/>
        </w:rPr>
        <w:t>Amendments to the Existing Credit Agreement</w:t>
      </w:r>
      <w:r>
        <w:rPr>
          <w:rFonts w:ascii="Times New Roman" w:cs="Times New Roman" w:eastAsia="Times New Roman" w:hAnsi="Times New Roman"/>
          <w:sz w:val="20"/>
          <w:szCs w:val="20"/>
          <w:color w:val="auto"/>
        </w:rPr>
        <w:t xml:space="preserve">. As of the Second Amendment Effective Date (as defined below) and subject to the conditions set forth in </w:t>
      </w:r>
      <w:r>
        <w:rPr>
          <w:rFonts w:ascii="Times New Roman" w:cs="Times New Roman" w:eastAsia="Times New Roman" w:hAnsi="Times New Roman"/>
          <w:sz w:val="20"/>
          <w:szCs w:val="20"/>
          <w:u w:val="single" w:color="auto"/>
          <w:color w:val="auto"/>
        </w:rPr>
        <w:t>Section 3</w:t>
      </w:r>
      <w:r>
        <w:rPr>
          <w:rFonts w:ascii="Times New Roman" w:cs="Times New Roman" w:eastAsia="Times New Roman" w:hAnsi="Times New Roman"/>
          <w:sz w:val="20"/>
          <w:szCs w:val="20"/>
          <w:color w:val="auto"/>
        </w:rPr>
        <w:t xml:space="preserve"> of this Amendment:</w:t>
      </w:r>
    </w:p>
    <w:p>
      <w:pPr>
        <w:spacing w:after="0" w:line="146" w:lineRule="exact"/>
        <w:rPr>
          <w:sz w:val="20"/>
          <w:szCs w:val="20"/>
          <w:color w:val="auto"/>
        </w:rPr>
      </w:pPr>
    </w:p>
    <w:p>
      <w:pPr>
        <w:ind w:left="1940" w:hanging="636"/>
        <w:spacing w:after="0"/>
        <w:tabs>
          <w:tab w:leader="none" w:pos="194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Section 7.1(c) of the Existing Credit Agreement is hereby amended and restated in its entirety as follows:</w:t>
      </w:r>
    </w:p>
    <w:p>
      <w:pPr>
        <w:spacing w:after="0" w:line="229" w:lineRule="exact"/>
        <w:rPr>
          <w:sz w:val="20"/>
          <w:szCs w:val="20"/>
          <w:color w:val="auto"/>
        </w:rPr>
      </w:pPr>
    </w:p>
    <w:p>
      <w:pPr>
        <w:jc w:val="both"/>
        <w:ind w:left="1300"/>
        <w:spacing w:after="0" w:line="253" w:lineRule="auto"/>
        <w:rPr>
          <w:sz w:val="20"/>
          <w:szCs w:val="20"/>
          <w:color w:val="auto"/>
        </w:rPr>
      </w:pPr>
      <w:r>
        <w:rPr>
          <w:rFonts w:ascii="Times New Roman" w:cs="Times New Roman" w:eastAsia="Times New Roman" w:hAnsi="Times New Roman"/>
          <w:sz w:val="20"/>
          <w:szCs w:val="20"/>
          <w:u w:val="single" w:color="auto"/>
          <w:color w:val="auto"/>
        </w:rPr>
        <w:t>Minimum Interest Coverage Ratio</w:t>
      </w:r>
      <w:r>
        <w:rPr>
          <w:rFonts w:ascii="Times New Roman" w:cs="Times New Roman" w:eastAsia="Times New Roman" w:hAnsi="Times New Roman"/>
          <w:sz w:val="20"/>
          <w:szCs w:val="20"/>
          <w:color w:val="auto"/>
        </w:rPr>
        <w:t>: (a) Prior to the end of the fiscal quarter of the Borrower ending on December 31, 2025, as of the end of each fiscal quarter of the Borrower, fail to maintain an Interest Coverage Ratio greater than 1.50:1.00 and (b) thereafter, as of the end of each fiscal quarter of the Borrower (commencing with the fiscal quarter of the Borrower ending on December 31, 2025), fail to maintain either (x) an Interest Coverage Ratio greater than 1.50:1.00 or (y) an amount of Unrestricted Cash</w:t>
      </w:r>
    </w:p>
    <w:p>
      <w:pPr>
        <w:sectPr>
          <w:pgSz w:w="11900" w:h="16838" w:orient="portrait"/>
          <w:cols w:equalWidth="0" w:num="1">
            <w:col w:w="11240"/>
          </w:cols>
          <w:pgMar w:left="320" w:top="243" w:right="339" w:bottom="1440" w:gutter="0" w:footer="0" w:header="0"/>
        </w:sectPr>
      </w:pPr>
    </w:p>
    <w:bookmarkStart w:id="43" w:name="page44"/>
    <w:bookmarkEnd w:id="43"/>
    <w:p>
      <w:pPr>
        <w:ind w:left="1300" w:right="20"/>
        <w:spacing w:after="0" w:line="283" w:lineRule="auto"/>
        <w:rPr>
          <w:sz w:val="20"/>
          <w:szCs w:val="20"/>
          <w:color w:val="auto"/>
        </w:rPr>
      </w:pPr>
      <w:r>
        <w:rPr>
          <w:rFonts w:ascii="Times New Roman" w:cs="Times New Roman" w:eastAsia="Times New Roman" w:hAnsi="Times New Roman"/>
          <w:sz w:val="20"/>
          <w:szCs w:val="20"/>
          <w:color w:val="auto"/>
        </w:rPr>
        <w:t>held by the Loan Parties and their consolidated Subsidiaries in an amount not less than the Consolidated Interest Incurred for the twelve months ended on such date.</w:t>
      </w:r>
    </w:p>
    <w:p>
      <w:pPr>
        <w:spacing w:after="0" w:line="146" w:lineRule="exact"/>
        <w:rPr>
          <w:sz w:val="20"/>
          <w:szCs w:val="20"/>
          <w:color w:val="auto"/>
        </w:rPr>
      </w:pPr>
    </w:p>
    <w:p>
      <w:pPr>
        <w:jc w:val="both"/>
        <w:ind w:left="660" w:firstLine="644"/>
        <w:spacing w:after="0" w:line="258" w:lineRule="auto"/>
        <w:tabs>
          <w:tab w:leader="none" w:pos="1623"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Exhibit B of the Existing Credit Agreement is hereby amended in accordance with </w:t>
      </w:r>
      <w:r>
        <w:rPr>
          <w:rFonts w:ascii="Times New Roman" w:cs="Times New Roman" w:eastAsia="Times New Roman" w:hAnsi="Times New Roman"/>
          <w:sz w:val="20"/>
          <w:szCs w:val="20"/>
          <w:u w:val="single" w:color="auto"/>
          <w:color w:val="auto"/>
        </w:rPr>
        <w:t>Annex I</w:t>
      </w:r>
      <w:r>
        <w:rPr>
          <w:rFonts w:ascii="Times New Roman" w:cs="Times New Roman" w:eastAsia="Times New Roman" w:hAnsi="Times New Roman"/>
          <w:sz w:val="20"/>
          <w:szCs w:val="20"/>
          <w:color w:val="auto"/>
        </w:rPr>
        <w:t xml:space="preserve"> hereto by deleting the stricken text (indicated textually in the same manner as the following example: </w:t>
      </w:r>
      <w:r>
        <w:rPr>
          <w:rFonts w:ascii="Times New Roman" w:cs="Times New Roman" w:eastAsia="Times New Roman" w:hAnsi="Times New Roman"/>
          <w:sz w:val="20"/>
          <w:szCs w:val="20"/>
          <w:color w:val="FF0000"/>
          <w:strike w:val="1"/>
        </w:rPr>
        <w:t>stricken text</w:t>
      </w:r>
      <w:r>
        <w:rPr>
          <w:rFonts w:ascii="Times New Roman" w:cs="Times New Roman" w:eastAsia="Times New Roman" w:hAnsi="Times New Roman"/>
          <w:sz w:val="20"/>
          <w:szCs w:val="20"/>
          <w:color w:val="auto"/>
        </w:rPr>
        <w:t xml:space="preserve">) and by inserting the double-underlined text (indicated textually in the same manner as the following example: </w:t>
      </w:r>
      <w:r>
        <w:rPr>
          <w:rFonts w:ascii="Times New Roman" w:cs="Times New Roman" w:eastAsia="Times New Roman" w:hAnsi="Times New Roman"/>
          <w:sz w:val="20"/>
          <w:szCs w:val="20"/>
          <w:u w:val="single" w:color="auto"/>
          <w:color w:val="0000FF"/>
        </w:rPr>
        <w:t>double-underlined text</w:t>
      </w:r>
      <w:r>
        <w:rPr>
          <w:rFonts w:ascii="Times New Roman" w:cs="Times New Roman" w:eastAsia="Times New Roman" w:hAnsi="Times New Roman"/>
          <w:sz w:val="20"/>
          <w:szCs w:val="20"/>
          <w:color w:val="auto"/>
        </w:rPr>
        <w:t>), in each case in the place where such text appears therein.</w:t>
      </w:r>
    </w:p>
    <w:p>
      <w:pPr>
        <w:spacing w:after="0" w:line="18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 xml:space="preserve">SECTION 3. </w:t>
      </w:r>
      <w:r>
        <w:rPr>
          <w:rFonts w:ascii="Times New Roman" w:cs="Times New Roman" w:eastAsia="Times New Roman" w:hAnsi="Times New Roman"/>
          <w:sz w:val="20"/>
          <w:szCs w:val="20"/>
          <w:u w:val="single" w:color="auto"/>
          <w:color w:val="auto"/>
        </w:rPr>
        <w:t>Conditions to Effectiveness of this Amendment</w:t>
      </w:r>
      <w:r>
        <w:rPr>
          <w:rFonts w:ascii="Times New Roman" w:cs="Times New Roman" w:eastAsia="Times New Roman" w:hAnsi="Times New Roman"/>
          <w:sz w:val="20"/>
          <w:szCs w:val="20"/>
          <w:color w:val="auto"/>
        </w:rPr>
        <w:t>. This Amendment shall become effective on the date on which the following conditions precedent have been satisfied or waived (the date on which such conditions shall have been so satisfied or waived, the “</w:t>
      </w:r>
      <w:r>
        <w:rPr>
          <w:rFonts w:ascii="Times New Roman" w:cs="Times New Roman" w:eastAsia="Times New Roman" w:hAnsi="Times New Roman"/>
          <w:sz w:val="20"/>
          <w:szCs w:val="20"/>
          <w:u w:val="single" w:color="auto"/>
          <w:color w:val="auto"/>
        </w:rPr>
        <w:t>Second Amendment Effective Date</w:t>
      </w:r>
      <w:r>
        <w:rPr>
          <w:rFonts w:ascii="Times New Roman" w:cs="Times New Roman" w:eastAsia="Times New Roman" w:hAnsi="Times New Roman"/>
          <w:sz w:val="20"/>
          <w:szCs w:val="20"/>
          <w:color w:val="auto"/>
        </w:rPr>
        <w:t>”):</w:t>
      </w:r>
    </w:p>
    <w:p>
      <w:pPr>
        <w:spacing w:after="0" w:line="168" w:lineRule="exact"/>
        <w:rPr>
          <w:sz w:val="20"/>
          <w:szCs w:val="20"/>
          <w:color w:val="auto"/>
        </w:rPr>
      </w:pPr>
    </w:p>
    <w:p>
      <w:pPr>
        <w:jc w:val="both"/>
        <w:ind w:left="660" w:right="20" w:firstLine="644"/>
        <w:spacing w:after="0" w:line="268" w:lineRule="auto"/>
        <w:tabs>
          <w:tab w:leader="none" w:pos="1946"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shall have received a counterpart of this Amendment, executed and delivered by a duly authorized officer of (i) each Loan Party, (ii) each Lender party hereto (such Lenders constituting the Required Lenders under the Existing Credit Agreement) and (iii) the Administrative Agent.</w:t>
      </w:r>
    </w:p>
    <w:p>
      <w:pPr>
        <w:spacing w:after="0" w:line="161" w:lineRule="exact"/>
        <w:rPr>
          <w:rFonts w:ascii="Times New Roman" w:cs="Times New Roman" w:eastAsia="Times New Roman" w:hAnsi="Times New Roman"/>
          <w:sz w:val="20"/>
          <w:szCs w:val="20"/>
          <w:color w:val="auto"/>
        </w:rPr>
      </w:pPr>
    </w:p>
    <w:p>
      <w:pPr>
        <w:jc w:val="both"/>
        <w:ind w:left="660" w:firstLine="644"/>
        <w:spacing w:after="0" w:line="261" w:lineRule="auto"/>
        <w:tabs>
          <w:tab w:leader="none" w:pos="1944"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Lenders party hereto and the Administrative Agent shall have received all fees required to be paid, and all expenses for which invoices have been presented (including the reasonable fees and expenses of legal counsel to the Administrative Agent) on or before the Second Amendment Effective Date.</w:t>
      </w:r>
    </w:p>
    <w:p>
      <w:pPr>
        <w:spacing w:after="0" w:line="181" w:lineRule="exact"/>
        <w:rPr>
          <w:rFonts w:ascii="Times New Roman" w:cs="Times New Roman" w:eastAsia="Times New Roman" w:hAnsi="Times New Roman"/>
          <w:sz w:val="20"/>
          <w:szCs w:val="20"/>
          <w:color w:val="auto"/>
        </w:rPr>
      </w:pPr>
    </w:p>
    <w:p>
      <w:pPr>
        <w:jc w:val="both"/>
        <w:ind w:left="660" w:firstLine="644"/>
        <w:spacing w:after="0" w:line="251" w:lineRule="auto"/>
        <w:tabs>
          <w:tab w:leader="none" w:pos="1946"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 (x) each of the representations and warranties made by any Loan Party in or pursuant to the Loan Documents are true and correct in all material respects (except any representations and warranties which are qualified by materiality or reference to Material Adverse Effect, are correct and accurate in all respects) on and as the date hereof as if made on and as the date hereof;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any such representations and warranties are expressly made only as of a prior date, such representations and warranties are true and correct in all material respects (or all respects, as applicable) as of such prior date and (y) no Default or Event of Default has occurred or is continuing on the date hereof or after giving effect to this Amendment and (ii) the Administrative Agent shall have received a certificate, dated as of the Second Amendment Effective Date and signed by a Responsible Officer of the Borrower certifying as to the foregoing.</w:t>
      </w:r>
    </w:p>
    <w:p>
      <w:pPr>
        <w:spacing w:after="0" w:line="195"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0"/>
          <w:szCs w:val="20"/>
          <w:color w:val="auto"/>
        </w:rPr>
        <w:t>SECTION 4.</w:t>
      </w:r>
      <w:r>
        <w:rPr>
          <w:sz w:val="20"/>
          <w:szCs w:val="20"/>
          <w:color w:val="auto"/>
        </w:rPr>
        <w:tab/>
      </w:r>
      <w:r>
        <w:rPr>
          <w:rFonts w:ascii="Times New Roman" w:cs="Times New Roman" w:eastAsia="Times New Roman" w:hAnsi="Times New Roman"/>
          <w:sz w:val="20"/>
          <w:szCs w:val="20"/>
          <w:u w:val="single" w:color="auto"/>
          <w:color w:val="auto"/>
        </w:rPr>
        <w:t>Representations and Warranties</w:t>
      </w:r>
      <w:r>
        <w:rPr>
          <w:rFonts w:ascii="Times New Roman" w:cs="Times New Roman" w:eastAsia="Times New Roman" w:hAnsi="Times New Roman"/>
          <w:sz w:val="20"/>
          <w:szCs w:val="20"/>
          <w:color w:val="auto"/>
        </w:rPr>
        <w:t>. The Borrower represents and warrants to Administrative Agent that, as of the date</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hereof:</w:t>
      </w:r>
    </w:p>
    <w:p>
      <w:pPr>
        <w:spacing w:after="0" w:line="207" w:lineRule="exact"/>
        <w:rPr>
          <w:sz w:val="20"/>
          <w:szCs w:val="20"/>
          <w:color w:val="auto"/>
        </w:rPr>
      </w:pPr>
    </w:p>
    <w:p>
      <w:pPr>
        <w:jc w:val="both"/>
        <w:ind w:firstLine="1304"/>
        <w:spacing w:after="0" w:line="258" w:lineRule="auto"/>
        <w:tabs>
          <w:tab w:leader="none" w:pos="1934"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the Borrower has the power and authority to execute and deliver this Amendment and to perform all its obligations hereunder and (ii) this Amendment has been duly executed and delivered by the Borrower and this Amendment constitutes a legal, valid and binding obligation of the Borrower enforceable against the Borrower in accordance with its terms, except as enforceability may be limited by bankruptcy, insolvency or similar laws affecting the enforcement of creditors’ rights generally;</w:t>
      </w:r>
    </w:p>
    <w:p>
      <w:pPr>
        <w:spacing w:after="0" w:line="172" w:lineRule="exact"/>
        <w:rPr>
          <w:rFonts w:ascii="Times New Roman" w:cs="Times New Roman" w:eastAsia="Times New Roman" w:hAnsi="Times New Roman"/>
          <w:sz w:val="20"/>
          <w:szCs w:val="20"/>
          <w:color w:val="auto"/>
        </w:rPr>
      </w:pPr>
    </w:p>
    <w:p>
      <w:pPr>
        <w:jc w:val="both"/>
        <w:ind w:firstLine="1304"/>
        <w:spacing w:after="0" w:line="261" w:lineRule="auto"/>
        <w:tabs>
          <w:tab w:leader="none" w:pos="1932"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execution and delivery by the Borrower of this Amendment and its performance of its obligations hereunder and any and all actions taken by the Borrower (i) have been duly authorized by all requisite corporate action, (ii) will not violate or be in conflict with (A) in any material respect, any provisions of law (including, without limitation, any applicable usury or similar law), (B)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413"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20"/>
          <w:szCs w:val="20"/>
          <w:color w:val="auto"/>
        </w:rPr>
        <w:t>any material respect, any order, rule, regulation, writ, judgment, injunction, decree or award of any court or other agency of government, or</w:t>
      </w:r>
    </w:p>
    <w:p>
      <w:pPr>
        <w:spacing w:after="0" w:line="28" w:lineRule="exact"/>
        <w:rPr>
          <w:sz w:val="20"/>
          <w:szCs w:val="20"/>
          <w:color w:val="auto"/>
        </w:rPr>
      </w:pPr>
    </w:p>
    <w:p>
      <w:pPr>
        <w:jc w:val="both"/>
        <w:ind w:firstLine="8"/>
        <w:spacing w:after="0" w:line="250" w:lineRule="auto"/>
        <w:tabs>
          <w:tab w:leader="none" w:pos="331"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provision of its certificate of incorporation or by-laws, (iii) will not violate, be in conflict with, result in a breach of or constitute (with or without the giving of notice or the passage of time or both) a default under any indenture, agreement or other instrument to which the Borrower is a party or by which it or any of its properties or assets is or may be bound (including without limitation any indentures pursuant to which any debt Securities of the Borrower have been issued), except in each case where such violation, conflict or breach would not reasonably be expected to have a Material Adverse Effect and (iv) except as otherwise contemplated by this Amendment, will not result in the creation or imposition of any lien, charge or encumbrance upon, or any security interest in, any of its properties or assets;</w:t>
      </w:r>
    </w:p>
    <w:p>
      <w:pPr>
        <w:spacing w:after="0" w:line="180" w:lineRule="exact"/>
        <w:rPr>
          <w:rFonts w:ascii="Times New Roman" w:cs="Times New Roman" w:eastAsia="Times New Roman" w:hAnsi="Times New Roman"/>
          <w:sz w:val="20"/>
          <w:szCs w:val="20"/>
          <w:color w:val="auto"/>
        </w:rPr>
      </w:pPr>
    </w:p>
    <w:p>
      <w:pPr>
        <w:jc w:val="both"/>
        <w:ind w:firstLine="1304"/>
        <w:spacing w:after="0" w:line="252" w:lineRule="auto"/>
        <w:tabs>
          <w:tab w:leader="none" w:pos="1934" w:val="left"/>
        </w:tabs>
        <w:numPr>
          <w:ilvl w:val="1"/>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no order, license, consent, approval, authorization of, or registration, declaration, recording or filing (except for the filing of a Current Report on Form 8-K, and a Quarterly Report on Form 10-Q, in each case with the Securities and Exchange Commission) with, or validation of, or exemption by, any governmental or public authority (whether federal, state or local, domestic or foreign) or any subdivision thereof is required in connection with, or as a condition precedent to, the due and valid execution, delivery and performance by the Borrower of this Amendment, or the legality, validity, binding effect or enforceability of any of the respective terms, provisions or conditions thereof and (ii) to the extent that any franchises, licenses, certificates, authorizations, approvals or consents from any federal, state or local (domestic or foreign) government, commission, bureau or agency are required for the acquisition, ownership, operation or maintenance by the Borrower of properties now owned, operated or maintained by any of them, those franchises, licenses, certificates, authorizations, approvals and consents have been validly granted, are in full force and effect and constitute valid and sufficient authorization therefor, except in each case to the extent of omissions that would not have a Material Adverse Effect;</w:t>
      </w:r>
    </w:p>
    <w:p>
      <w:pPr>
        <w:spacing w:after="0" w:line="177" w:lineRule="exact"/>
        <w:rPr>
          <w:rFonts w:ascii="Times New Roman" w:cs="Times New Roman" w:eastAsia="Times New Roman" w:hAnsi="Times New Roman"/>
          <w:sz w:val="20"/>
          <w:szCs w:val="20"/>
          <w:color w:val="auto"/>
        </w:rPr>
      </w:pPr>
    </w:p>
    <w:p>
      <w:pPr>
        <w:jc w:val="both"/>
        <w:ind w:firstLine="1304"/>
        <w:spacing w:after="0" w:line="253" w:lineRule="auto"/>
        <w:tabs>
          <w:tab w:leader="none" w:pos="1932" w:val="left"/>
        </w:tabs>
        <w:numPr>
          <w:ilvl w:val="1"/>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of the representations and warranties made by any Loan Party in or pursuant to the Loan Documents are true and correct in all material respects (except any representations and warranties which are qualified by materiality or reference to Material Adverse Effect, are correct and accurate in all respects) on and as the date hereof as if made on and as the date hereof;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any such representations and warranties are expressly made only as of a prior date, such representations and warranties are true and correct in all material respects (or all respects, as applicable) as of such prior date; and</w:t>
      </w:r>
    </w:p>
    <w:p>
      <w:pPr>
        <w:spacing w:after="0" w:line="191"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1"/>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Default or Event of Default has occurred or is continuing on the date hereof or after giving effect to this</w:t>
      </w:r>
    </w:p>
    <w:p>
      <w:pPr>
        <w:spacing w:after="0" w:line="28"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Amendment.</w:t>
      </w:r>
    </w:p>
    <w:p>
      <w:pPr>
        <w:spacing w:after="0" w:line="200"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0"/>
          <w:szCs w:val="20"/>
          <w:color w:val="auto"/>
        </w:rPr>
        <w:t>SECTION 5.</w:t>
      </w:r>
      <w:r>
        <w:rPr>
          <w:sz w:val="20"/>
          <w:szCs w:val="20"/>
          <w:color w:val="auto"/>
        </w:rPr>
        <w:tab/>
      </w:r>
      <w:r>
        <w:rPr>
          <w:rFonts w:ascii="Times New Roman" w:cs="Times New Roman" w:eastAsia="Times New Roman" w:hAnsi="Times New Roman"/>
          <w:sz w:val="19"/>
          <w:szCs w:val="19"/>
          <w:u w:val="single" w:color="auto"/>
          <w:color w:val="auto"/>
        </w:rPr>
        <w:t>Continuing Effect; No Other Amendments or Consents; Reaffirmation</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jc w:val="both"/>
        <w:ind w:left="660" w:firstLine="644"/>
        <w:spacing w:after="0" w:line="251" w:lineRule="auto"/>
        <w:tabs>
          <w:tab w:leader="none" w:pos="1946"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expressly provided herein, all of the terms and provisions of the Existing Credit Agreement are and shall remain in full force and effect. The amendments provided for herein are limited to the specific subsections of the Existing Credit Agreement specified herein and shall not constitute a consent, waiver or amendment of, or an indication of the Administrative Agent’s or the Lenders’ willingness to consent to any action requiring consent under any other provisions of the Existing Credit Agreement or the same subsection for any other date or time period. Upon the effectiveness of the amendments set forth herein, on and after the Second Amendment Effective Date, each reference in the Existing Credit Agreement to “this Amendment,” “the Agreement,” “hereunder,” “hereof” or words of like import referring to the Existing Credit Agreement, and each reference in the other Loan Documents to “Credit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413" w:right="339" w:bottom="1440" w:gutter="0" w:footer="0" w:header="0"/>
        </w:sectPr>
      </w:pPr>
    </w:p>
    <w:bookmarkStart w:id="45" w:name="page46"/>
    <w:bookmarkEnd w:id="45"/>
    <w:p>
      <w:pPr>
        <w:jc w:val="both"/>
        <w:ind w:left="660"/>
        <w:spacing w:after="0" w:line="252" w:lineRule="auto"/>
        <w:rPr>
          <w:sz w:val="20"/>
          <w:szCs w:val="20"/>
          <w:color w:val="auto"/>
        </w:rPr>
      </w:pPr>
      <w:r>
        <w:rPr>
          <w:rFonts w:ascii="Times New Roman" w:cs="Times New Roman" w:eastAsia="Times New Roman" w:hAnsi="Times New Roman"/>
          <w:sz w:val="20"/>
          <w:szCs w:val="20"/>
          <w:color w:val="auto"/>
        </w:rPr>
        <w:t>Agreement,” “thereunder,” “thereof” or words of like import referring to the Existing Credit Agreement, shall mean and be a reference to the Amended Credit Agreement. Nothing contained herein shall be construed as a substitution or novation of the obligations outstanding under the Existing Credit Agreement or the other Loan Documents or instruments securing the same, which shall remain in full force and effect, except to any extent expressly modified hereby or by instruments executed concurrently herewith. Nothing implied in this Amendment, the Existing Credit Agreement, the other Loan Documents or in any other document contemplated hereby or thereby shall be construed as a release or other discharge of any of the Borrower or any other Loan Party from any of its respective obligations and liabilities as a “Borrower” or “Loan Party” hereunder and under the Existing Credit Agreement or any other Loan Document. The Existing Credit Agreement shall remain in full force and effect, until (as applicable) and except to any extent modified hereby or in connection herewith.</w:t>
      </w:r>
    </w:p>
    <w:p>
      <w:pPr>
        <w:spacing w:after="0" w:line="176" w:lineRule="exact"/>
        <w:rPr>
          <w:sz w:val="20"/>
          <w:szCs w:val="20"/>
          <w:color w:val="auto"/>
        </w:rPr>
      </w:pPr>
    </w:p>
    <w:p>
      <w:pPr>
        <w:ind w:left="1940" w:hanging="636"/>
        <w:spacing w:after="0"/>
        <w:tabs>
          <w:tab w:leader="none" w:pos="194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and the Administrative Agent acknowledge and agree that this Amendment shall constitute a Loan</w:t>
      </w:r>
    </w:p>
    <w:p>
      <w:pPr>
        <w:spacing w:after="0" w:line="28" w:lineRule="exact"/>
        <w:rPr>
          <w:rFonts w:ascii="Times New Roman" w:cs="Times New Roman" w:eastAsia="Times New Roman" w:hAnsi="Times New Roman"/>
          <w:sz w:val="20"/>
          <w:szCs w:val="20"/>
          <w:color w:val="auto"/>
        </w:rPr>
      </w:pPr>
    </w:p>
    <w:p>
      <w:pPr>
        <w:ind w:left="6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Document.</w:t>
      </w:r>
    </w:p>
    <w:p>
      <w:pPr>
        <w:spacing w:after="0" w:line="213" w:lineRule="exact"/>
        <w:rPr>
          <w:rFonts w:ascii="Times New Roman" w:cs="Times New Roman" w:eastAsia="Times New Roman" w:hAnsi="Times New Roman"/>
          <w:sz w:val="20"/>
          <w:szCs w:val="20"/>
          <w:color w:val="auto"/>
        </w:rPr>
      </w:pPr>
    </w:p>
    <w:p>
      <w:pPr>
        <w:jc w:val="both"/>
        <w:ind w:left="660" w:firstLine="644"/>
        <w:spacing w:after="0" w:line="254" w:lineRule="auto"/>
        <w:tabs>
          <w:tab w:leader="none" w:pos="1946"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Lender party hereto, by delivering its signature page to this Amendment on the Second Amendment Effective Date, shall be deemed to have acknowledged receipt of, and consented to and approved, this Amendment and each other document required to be delivered to, or be approved by or satisfactory or reasonably satisfactory to, the Administrative Agent or such Lenders on the Second Amendment Effective Date.</w:t>
      </w:r>
    </w:p>
    <w:p>
      <w:pPr>
        <w:spacing w:after="0" w:line="187" w:lineRule="exact"/>
        <w:rPr>
          <w:rFonts w:ascii="Times New Roman" w:cs="Times New Roman" w:eastAsia="Times New Roman" w:hAnsi="Times New Roman"/>
          <w:sz w:val="20"/>
          <w:szCs w:val="20"/>
          <w:color w:val="auto"/>
        </w:rPr>
      </w:pPr>
    </w:p>
    <w:p>
      <w:pPr>
        <w:jc w:val="both"/>
        <w:ind w:left="660" w:firstLine="644"/>
        <w:spacing w:after="0" w:line="258" w:lineRule="auto"/>
        <w:tabs>
          <w:tab w:leader="none" w:pos="1944"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Loan Party hereby expressly acknowledges the terms of this Amendment and reaffirms, as of the date hereof (i) each Loan Party’s covenants and agreements contained in each Loan Document to which it is a party, including, in each case, such covenants and agreements as in effect immediately after giving effect to this Amendment and the transactions contemplated hereby and (ii) each Loan Party’s guarantee (if applicable) of the Obligations under the Guarantee Agreement.</w:t>
      </w:r>
    </w:p>
    <w:p>
      <w:pPr>
        <w:spacing w:after="0" w:line="17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 xml:space="preserve">SECTION 6. </w:t>
      </w:r>
      <w:r>
        <w:rPr>
          <w:rFonts w:ascii="Times New Roman" w:cs="Times New Roman" w:eastAsia="Times New Roman" w:hAnsi="Times New Roman"/>
          <w:sz w:val="20"/>
          <w:szCs w:val="20"/>
          <w:u w:val="single" w:color="auto"/>
          <w:color w:val="auto"/>
        </w:rPr>
        <w:t>Expenses</w:t>
      </w:r>
      <w:r>
        <w:rPr>
          <w:rFonts w:ascii="Times New Roman" w:cs="Times New Roman" w:eastAsia="Times New Roman" w:hAnsi="Times New Roman"/>
          <w:sz w:val="20"/>
          <w:szCs w:val="20"/>
          <w:color w:val="auto"/>
        </w:rPr>
        <w:t>. The Borrower agrees to pay and reimburse the Administrative Agent for all of its reasonable and documented out-of-pocket expenses incurred in connection with the preparation and delivery of this Amendment, and any other documents prepared in connection herewith and the transactions contemplated hereby, including, without limitation, the reasonable and documented out-of-pocket fees and disbursements of counsel to the Administrative Agent, regardless of whether such out-of-pocket fees or disbursements have been presented to the Borrower prior to the Second Amendment Effective Date, in accordance with the terms of, and solely to the extent required by, Section 10.5 of the Existing Credit Agreement.</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 xml:space="preserve">SECTION 7. </w:t>
      </w:r>
      <w:r>
        <w:rPr>
          <w:rFonts w:ascii="Times New Roman" w:cs="Times New Roman" w:eastAsia="Times New Roman" w:hAnsi="Times New Roman"/>
          <w:sz w:val="20"/>
          <w:szCs w:val="20"/>
          <w:u w:val="single" w:color="auto"/>
          <w:color w:val="auto"/>
        </w:rPr>
        <w:t>Counterparts; Electronic Execution</w:t>
      </w:r>
      <w:r>
        <w:rPr>
          <w:rFonts w:ascii="Times New Roman" w:cs="Times New Roman" w:eastAsia="Times New Roman" w:hAnsi="Times New Roman"/>
          <w:sz w:val="20"/>
          <w:szCs w:val="20"/>
          <w:color w:val="auto"/>
        </w:rPr>
        <w:t xml:space="preserve">. The provisions of Section 10.8 of the Existing Credit Agreement are hereby incorporated herein by reference and shall apply to this Amendment and any Ancillary Document related to this Amendment </w:t>
      </w:r>
      <w:r>
        <w:rPr>
          <w:rFonts w:ascii="Times New Roman" w:cs="Times New Roman" w:eastAsia="Times New Roman" w:hAnsi="Times New Roman"/>
          <w:sz w:val="20"/>
          <w:szCs w:val="20"/>
          <w:i w:val="1"/>
          <w:iCs w:val="1"/>
          <w:color w:val="auto"/>
        </w:rPr>
        <w:t>mutatis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mutandis</w:t>
      </w:r>
      <w:r>
        <w:rPr>
          <w:rFonts w:ascii="Times New Roman" w:cs="Times New Roman" w:eastAsia="Times New Roman" w:hAnsi="Times New Roman"/>
          <w:sz w:val="20"/>
          <w:szCs w:val="20"/>
          <w:color w:val="auto"/>
        </w:rPr>
        <w:t>.</w:t>
      </w:r>
    </w:p>
    <w:p>
      <w:pPr>
        <w:spacing w:after="0" w:line="18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 xml:space="preserve">SECTION 8. </w:t>
      </w:r>
      <w:r>
        <w:rPr>
          <w:rFonts w:ascii="Times New Roman" w:cs="Times New Roman" w:eastAsia="Times New Roman" w:hAnsi="Times New Roman"/>
          <w:sz w:val="20"/>
          <w:szCs w:val="20"/>
          <w:u w:val="single" w:color="auto"/>
          <w:color w:val="auto"/>
        </w:rPr>
        <w:t>Successors and Assigns</w:t>
      </w:r>
      <w:r>
        <w:rPr>
          <w:rFonts w:ascii="Times New Roman" w:cs="Times New Roman" w:eastAsia="Times New Roman" w:hAnsi="Times New Roman"/>
          <w:sz w:val="20"/>
          <w:szCs w:val="20"/>
          <w:color w:val="auto"/>
        </w:rPr>
        <w:t>. The provisions of this Amendment shall be binding upon and inure to the benefit of the parties hereto and their respective successors and assigns. Nothing in this Amendment, expressed or implied, shall be construed to confer upon any Person (other than the parties hereto, their respective successors and assigns) any legal or equitable right, remedy or claim under or by reason of this Amendment.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1413" w:right="339" w:bottom="1440" w:gutter="0" w:footer="0" w:header="0"/>
        </w:sectPr>
      </w:pPr>
    </w:p>
    <w:bookmarkStart w:id="46" w:name="page47"/>
    <w:bookmarkEnd w:id="46"/>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 xml:space="preserve">SECTION 9. </w:t>
      </w:r>
      <w:r>
        <w:rPr>
          <w:rFonts w:ascii="Times New Roman" w:cs="Times New Roman" w:eastAsia="Times New Roman" w:hAnsi="Times New Roman"/>
          <w:sz w:val="20"/>
          <w:szCs w:val="20"/>
          <w:u w:val="single" w:color="auto"/>
          <w:color w:val="auto"/>
        </w:rPr>
        <w:t>Severability</w:t>
      </w:r>
      <w:r>
        <w:rPr>
          <w:rFonts w:ascii="Times New Roman" w:cs="Times New Roman" w:eastAsia="Times New Roman" w:hAnsi="Times New Roman"/>
          <w:sz w:val="20"/>
          <w:szCs w:val="20"/>
          <w:color w:val="auto"/>
        </w:rPr>
        <w:t>. Any provision of this Amendment that is prohibited or unenforceable in any jurisdiction shall, as to such jurisdiction, be ineffective to the extent of such prohibition or unenforceability without invalidating the remaining provisions hereof, and any such prohibition or unenforceability in any jurisdiction shall not invalidate or render unenforceable such provision in any other jurisdiction.</w:t>
      </w:r>
    </w:p>
    <w:p>
      <w:pPr>
        <w:spacing w:after="0" w:line="172" w:lineRule="exact"/>
        <w:rPr>
          <w:sz w:val="20"/>
          <w:szCs w:val="20"/>
          <w:color w:val="auto"/>
        </w:rPr>
      </w:pPr>
    </w:p>
    <w:p>
      <w:pPr>
        <w:jc w:val="both"/>
        <w:ind w:right="20" w:firstLine="648"/>
        <w:spacing w:after="0" w:line="283" w:lineRule="auto"/>
        <w:rPr>
          <w:sz w:val="20"/>
          <w:szCs w:val="20"/>
          <w:color w:val="auto"/>
        </w:rPr>
      </w:pPr>
      <w:r>
        <w:rPr>
          <w:rFonts w:ascii="Times New Roman" w:cs="Times New Roman" w:eastAsia="Times New Roman" w:hAnsi="Times New Roman"/>
          <w:sz w:val="20"/>
          <w:szCs w:val="20"/>
          <w:color w:val="auto"/>
        </w:rPr>
        <w:t xml:space="preserve">SECTION 10. </w:t>
      </w:r>
      <w:r>
        <w:rPr>
          <w:rFonts w:ascii="Times New Roman" w:cs="Times New Roman" w:eastAsia="Times New Roman" w:hAnsi="Times New Roman"/>
          <w:sz w:val="20"/>
          <w:szCs w:val="20"/>
          <w:u w:val="single" w:color="auto"/>
          <w:color w:val="auto"/>
        </w:rPr>
        <w:t>Miscellaneous</w:t>
      </w:r>
      <w:r>
        <w:rPr>
          <w:rFonts w:ascii="Times New Roman" w:cs="Times New Roman" w:eastAsia="Times New Roman" w:hAnsi="Times New Roman"/>
          <w:sz w:val="20"/>
          <w:szCs w:val="20"/>
          <w:color w:val="auto"/>
        </w:rPr>
        <w:t xml:space="preserve">. The provisions of Sections 10.5 and 10.12 of the Existing Credit Agreement are hereby incorporated herein by reference and shall apply to this Amendment and any Ancillary Document related to this Amendment </w:t>
      </w:r>
      <w:r>
        <w:rPr>
          <w:rFonts w:ascii="Times New Roman" w:cs="Times New Roman" w:eastAsia="Times New Roman" w:hAnsi="Times New Roman"/>
          <w:sz w:val="20"/>
          <w:szCs w:val="20"/>
          <w:i w:val="1"/>
          <w:iCs w:val="1"/>
          <w:color w:val="auto"/>
        </w:rPr>
        <w:t>mutatis mutandis</w:t>
      </w:r>
      <w:r>
        <w:rPr>
          <w:rFonts w:ascii="Times New Roman" w:cs="Times New Roman" w:eastAsia="Times New Roman" w:hAnsi="Times New Roman"/>
          <w:sz w:val="20"/>
          <w:szCs w:val="20"/>
          <w:color w:val="auto"/>
        </w:rPr>
        <w:t>.</w:t>
      </w:r>
    </w:p>
    <w:p>
      <w:pPr>
        <w:spacing w:after="0" w:line="156"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0"/>
          <w:szCs w:val="20"/>
          <w:color w:val="auto"/>
        </w:rPr>
        <w:t>SECTION 11.</w:t>
      </w:r>
      <w:r>
        <w:rPr>
          <w:sz w:val="20"/>
          <w:szCs w:val="20"/>
          <w:color w:val="auto"/>
        </w:rPr>
        <w:tab/>
      </w:r>
      <w:r>
        <w:rPr>
          <w:rFonts w:ascii="Times New Roman" w:cs="Times New Roman" w:eastAsia="Times New Roman" w:hAnsi="Times New Roman"/>
          <w:sz w:val="20"/>
          <w:szCs w:val="20"/>
          <w:b w:val="1"/>
          <w:bCs w:val="1"/>
          <w:u w:val="single" w:color="auto"/>
          <w:color w:val="auto"/>
        </w:rPr>
        <w:t>GOVERNING LAW</w:t>
      </w:r>
      <w:r>
        <w:rPr>
          <w:rFonts w:ascii="Times New Roman" w:cs="Times New Roman" w:eastAsia="Times New Roman" w:hAnsi="Times New Roman"/>
          <w:sz w:val="20"/>
          <w:szCs w:val="20"/>
          <w:b w:val="1"/>
          <w:bCs w:val="1"/>
          <w:color w:val="auto"/>
        </w:rPr>
        <w:t>. THIS AMENDMENT AND THE RIGHTS AND OBLIGATIONS OF THE PARTIES</w:t>
      </w:r>
    </w:p>
    <w:p>
      <w:pPr>
        <w:spacing w:after="0" w:line="2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b w:val="1"/>
          <w:bCs w:val="1"/>
          <w:color w:val="auto"/>
        </w:rPr>
        <w:t>UNDER THIS AMENDMENT SHALL BE GOVERNED BY, AND CONSTRUED AND INTERPRETED IN ACCORDANCE WITH, THE LAW OF THE STATE OF NEW YORK.</w:t>
      </w:r>
    </w:p>
    <w:p>
      <w:pPr>
        <w:spacing w:after="0" w:line="164" w:lineRule="exact"/>
        <w:rPr>
          <w:sz w:val="20"/>
          <w:szCs w:val="20"/>
          <w:color w:val="auto"/>
        </w:rPr>
      </w:pPr>
    </w:p>
    <w:p>
      <w:pPr>
        <w:jc w:val="both"/>
        <w:ind w:firstLine="648"/>
        <w:spacing w:after="0" w:line="270" w:lineRule="auto"/>
        <w:rPr>
          <w:sz w:val="20"/>
          <w:szCs w:val="20"/>
          <w:color w:val="auto"/>
        </w:rPr>
      </w:pPr>
      <w:r>
        <w:rPr>
          <w:rFonts w:ascii="Times New Roman" w:cs="Times New Roman" w:eastAsia="Times New Roman" w:hAnsi="Times New Roman"/>
          <w:sz w:val="20"/>
          <w:szCs w:val="20"/>
          <w:color w:val="auto"/>
        </w:rPr>
        <w:t xml:space="preserve">SECTION 12. </w:t>
      </w:r>
      <w:r>
        <w:rPr>
          <w:rFonts w:ascii="Times New Roman" w:cs="Times New Roman" w:eastAsia="Times New Roman" w:hAnsi="Times New Roman"/>
          <w:sz w:val="20"/>
          <w:szCs w:val="20"/>
          <w:b w:val="1"/>
          <w:bCs w:val="1"/>
          <w:u w:val="single" w:color="auto"/>
          <w:color w:val="auto"/>
        </w:rPr>
        <w:t>WAIVER OF JURY TRIAL</w:t>
      </w:r>
      <w:r>
        <w:rPr>
          <w:rFonts w:ascii="Times New Roman" w:cs="Times New Roman" w:eastAsia="Times New Roman" w:hAnsi="Times New Roman"/>
          <w:sz w:val="20"/>
          <w:szCs w:val="20"/>
          <w:b w:val="1"/>
          <w:bCs w:val="1"/>
          <w:color w:val="auto"/>
        </w:rPr>
        <w:t>. THE PROVISIONS OF SECTION 10.16 OF THE EXISTING CREDIT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 xml:space="preserve">AGREEMENT ARE HEREBY INCORPORATED HEREIN BY REFERENCE AND SHALL APPLY TO THIS AMENDMENT AND ANY ANCILLARY DOCUMENT RELATED TO THIS AMENDMENT </w:t>
      </w:r>
      <w:r>
        <w:rPr>
          <w:rFonts w:ascii="Times New Roman" w:cs="Times New Roman" w:eastAsia="Times New Roman" w:hAnsi="Times New Roman"/>
          <w:sz w:val="20"/>
          <w:szCs w:val="20"/>
          <w:b w:val="1"/>
          <w:bCs w:val="1"/>
          <w:i w:val="1"/>
          <w:iCs w:val="1"/>
          <w:color w:val="auto"/>
        </w:rPr>
        <w:t>MUTATIS MUTANDIS</w:t>
      </w:r>
      <w:r>
        <w:rPr>
          <w:rFonts w:ascii="Times New Roman" w:cs="Times New Roman" w:eastAsia="Times New Roman" w:hAnsi="Times New Roman"/>
          <w:sz w:val="20"/>
          <w:szCs w:val="20"/>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40"/>
          </w:cols>
          <w:pgMar w:left="320" w:top="1413" w:right="339" w:bottom="1440" w:gutter="0" w:footer="0" w:header="0"/>
        </w:sectPr>
      </w:pPr>
    </w:p>
    <w:bookmarkStart w:id="47" w:name="page48"/>
    <w:bookmarkEnd w:id="47"/>
    <w:p>
      <w:pPr>
        <w:ind w:firstLine="1296"/>
        <w:spacing w:after="0" w:line="283" w:lineRule="auto"/>
        <w:rPr>
          <w:sz w:val="20"/>
          <w:szCs w:val="20"/>
          <w:color w:val="auto"/>
        </w:rPr>
      </w:pPr>
      <w:r>
        <w:rPr>
          <w:rFonts w:ascii="Times New Roman" w:cs="Times New Roman" w:eastAsia="Times New Roman" w:hAnsi="Times New Roman"/>
          <w:sz w:val="20"/>
          <w:szCs w:val="20"/>
          <w:color w:val="auto"/>
        </w:rPr>
        <w:t>IN WITNESS WHEREOF, the parties have caused this Amendment to be duly executed and delivered by their proper and duly authorized officers as of the day and year first above written.</w:t>
      </w:r>
    </w:p>
    <w:p>
      <w:pPr>
        <w:spacing w:after="0" w:line="196"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20"/>
          <w:szCs w:val="20"/>
          <w:b w:val="1"/>
          <w:bCs w:val="1"/>
          <w:color w:val="auto"/>
        </w:rPr>
        <w:t>BEAZER HOMES USA, INC.</w:t>
      </w:r>
    </w:p>
    <w:p>
      <w:pPr>
        <w:spacing w:after="0" w:line="179" w:lineRule="exact"/>
        <w:rPr>
          <w:sz w:val="20"/>
          <w:szCs w:val="20"/>
          <w:color w:val="auto"/>
        </w:rPr>
      </w:pPr>
    </w:p>
    <w:p>
      <w:pPr>
        <w:ind w:left="5020"/>
        <w:spacing w:after="0"/>
        <w:tabs>
          <w:tab w:leader="none" w:pos="564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20"/>
          <w:szCs w:val="20"/>
          <w:color w:val="auto"/>
        </w:rPr>
        <w:t>/s/ David I. Goldberg</w:t>
      </w:r>
    </w:p>
    <w:p>
      <w:pPr>
        <w:spacing w:after="0" w:line="28" w:lineRule="exact"/>
        <w:rPr>
          <w:sz w:val="20"/>
          <w:szCs w:val="20"/>
          <w:color w:val="auto"/>
        </w:rPr>
      </w:pPr>
    </w:p>
    <w:tbl>
      <w:tblPr>
        <w:tblLayout w:type="fixed"/>
        <w:tblInd w:w="5580" w:type="dxa"/>
        <w:tblCellMar>
          <w:top w:w="0" w:type="dxa"/>
          <w:left w:w="0" w:type="dxa"/>
          <w:bottom w:w="0" w:type="dxa"/>
          <w:right w:w="0" w:type="dxa"/>
        </w:tblCellMar>
      </w:tblPr>
      <w:tr>
        <w:trPr>
          <w:trHeight w:val="248"/>
        </w:trPr>
        <w:tc>
          <w:tcPr>
            <w:tcW w:w="108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Name:</w:t>
            </w:r>
          </w:p>
        </w:tc>
        <w:tc>
          <w:tcPr>
            <w:tcW w:w="4580" w:type="dxa"/>
            <w:vAlign w:val="bottom"/>
            <w:tcBorders>
              <w:top w:val="single" w:sz="8" w:color="auto"/>
            </w:tcBorders>
          </w:tcPr>
          <w:p>
            <w:pPr>
              <w:ind w:left="480"/>
              <w:spacing w:after="0"/>
              <w:rPr>
                <w:sz w:val="20"/>
                <w:szCs w:val="20"/>
                <w:color w:val="auto"/>
              </w:rPr>
            </w:pPr>
            <w:r>
              <w:rPr>
                <w:rFonts w:ascii="Times New Roman" w:cs="Times New Roman" w:eastAsia="Times New Roman" w:hAnsi="Times New Roman"/>
                <w:sz w:val="20"/>
                <w:szCs w:val="20"/>
                <w:color w:val="auto"/>
              </w:rPr>
              <w:t>David I. Goldberg</w:t>
            </w:r>
          </w:p>
        </w:tc>
      </w:tr>
      <w:tr>
        <w:trPr>
          <w:trHeight w:val="203"/>
        </w:trPr>
        <w:tc>
          <w:tcPr>
            <w:tcW w:w="1080" w:type="dxa"/>
            <w:vAlign w:val="bottom"/>
          </w:tcPr>
          <w:p>
            <w:pPr>
              <w:ind w:left="80"/>
              <w:spacing w:after="0" w:line="203" w:lineRule="exact"/>
              <w:rPr>
                <w:sz w:val="20"/>
                <w:szCs w:val="20"/>
                <w:color w:val="auto"/>
              </w:rPr>
            </w:pPr>
            <w:r>
              <w:rPr>
                <w:rFonts w:ascii="Times New Roman" w:cs="Times New Roman" w:eastAsia="Times New Roman" w:hAnsi="Times New Roman"/>
                <w:sz w:val="20"/>
                <w:szCs w:val="20"/>
                <w:color w:val="auto"/>
              </w:rPr>
              <w:t>Title:</w:t>
            </w:r>
          </w:p>
        </w:tc>
        <w:tc>
          <w:tcPr>
            <w:tcW w:w="4580" w:type="dxa"/>
            <w:vAlign w:val="bottom"/>
          </w:tcPr>
          <w:p>
            <w:pPr>
              <w:ind w:left="480"/>
              <w:spacing w:after="0" w:line="203" w:lineRule="exact"/>
              <w:rPr>
                <w:sz w:val="20"/>
                <w:szCs w:val="20"/>
                <w:color w:val="auto"/>
              </w:rPr>
            </w:pPr>
            <w:r>
              <w:rPr>
                <w:rFonts w:ascii="Times New Roman" w:cs="Times New Roman" w:eastAsia="Times New Roman" w:hAnsi="Times New Roman"/>
                <w:sz w:val="20"/>
                <w:szCs w:val="20"/>
                <w:color w:val="auto"/>
              </w:rPr>
              <w:t>Senior Vice President &amp; Chief</w:t>
            </w:r>
          </w:p>
        </w:tc>
      </w:tr>
      <w:tr>
        <w:trPr>
          <w:trHeight w:val="258"/>
        </w:trPr>
        <w:tc>
          <w:tcPr>
            <w:tcW w:w="1080" w:type="dxa"/>
            <w:vAlign w:val="bottom"/>
          </w:tcPr>
          <w:p>
            <w:pPr>
              <w:spacing w:after="0"/>
              <w:rPr>
                <w:sz w:val="22"/>
                <w:szCs w:val="22"/>
                <w:color w:val="auto"/>
              </w:rPr>
            </w:pPr>
          </w:p>
        </w:tc>
        <w:tc>
          <w:tcPr>
            <w:tcW w:w="4580" w:type="dxa"/>
            <w:vAlign w:val="bottom"/>
          </w:tcPr>
          <w:p>
            <w:pPr>
              <w:ind w:left="480"/>
              <w:spacing w:after="0"/>
              <w:rPr>
                <w:sz w:val="20"/>
                <w:szCs w:val="20"/>
                <w:color w:val="auto"/>
              </w:rPr>
            </w:pPr>
            <w:r>
              <w:rPr>
                <w:rFonts w:ascii="Times New Roman" w:cs="Times New Roman" w:eastAsia="Times New Roman" w:hAnsi="Times New Roman"/>
                <w:sz w:val="20"/>
                <w:szCs w:val="20"/>
                <w:color w:val="auto"/>
              </w:rPr>
              <w:t>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20"/>
          <w:szCs w:val="20"/>
          <w:b w:val="1"/>
          <w:bCs w:val="1"/>
          <w:color w:val="auto"/>
        </w:rPr>
        <w:t>BEAZER GENERAL SERVICES, INC.</w:t>
      </w:r>
    </w:p>
    <w:p>
      <w:pPr>
        <w:spacing w:after="0" w:line="26"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20"/>
          <w:szCs w:val="20"/>
          <w:b w:val="1"/>
          <w:bCs w:val="1"/>
          <w:color w:val="auto"/>
        </w:rPr>
        <w:t>BEAZER HOMES INDIANA HOLDINGS CORP.</w:t>
      </w:r>
    </w:p>
    <w:p>
      <w:pPr>
        <w:spacing w:after="0" w:line="6"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20"/>
          <w:szCs w:val="20"/>
          <w:b w:val="1"/>
          <w:bCs w:val="1"/>
          <w:color w:val="auto"/>
        </w:rPr>
        <w:t>BEAZER HOMES SALES, INC.</w:t>
      </w:r>
    </w:p>
    <w:p>
      <w:pPr>
        <w:spacing w:after="0" w:line="6"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20"/>
          <w:szCs w:val="20"/>
          <w:b w:val="1"/>
          <w:bCs w:val="1"/>
          <w:color w:val="auto"/>
        </w:rPr>
        <w:t>BEAZER HOMES TEXAS HOLDINGS, INC.</w:t>
      </w:r>
    </w:p>
    <w:p>
      <w:pPr>
        <w:spacing w:after="0" w:line="6"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20"/>
          <w:szCs w:val="20"/>
          <w:b w:val="1"/>
          <w:bCs w:val="1"/>
          <w:color w:val="auto"/>
        </w:rPr>
        <w:t>BEAZER REALTY LOS ANGELES, INC.</w:t>
      </w:r>
    </w:p>
    <w:p>
      <w:pPr>
        <w:spacing w:after="0" w:line="6"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20"/>
          <w:szCs w:val="20"/>
          <w:b w:val="1"/>
          <w:bCs w:val="1"/>
          <w:color w:val="auto"/>
        </w:rPr>
        <w:t>BEAZER REALTY CORP.</w:t>
      </w:r>
    </w:p>
    <w:p>
      <w:pPr>
        <w:spacing w:after="0" w:line="6"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20"/>
          <w:szCs w:val="20"/>
          <w:b w:val="1"/>
          <w:bCs w:val="1"/>
          <w:color w:val="auto"/>
        </w:rPr>
        <w:t>BEAZER HOMES HOLDINGS, LLC</w:t>
      </w:r>
    </w:p>
    <w:p>
      <w:pPr>
        <w:spacing w:after="0" w:line="13"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20"/>
          <w:szCs w:val="20"/>
          <w:b w:val="1"/>
          <w:bCs w:val="1"/>
          <w:color w:val="auto"/>
        </w:rPr>
        <w:t>BEAZER HOMES, LLC</w:t>
      </w:r>
    </w:p>
    <w:p>
      <w:pPr>
        <w:spacing w:after="0" w:line="6"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20"/>
          <w:szCs w:val="20"/>
          <w:b w:val="1"/>
          <w:bCs w:val="1"/>
          <w:color w:val="auto"/>
        </w:rPr>
        <w:t>BH MATERIALS, LLC</w:t>
      </w:r>
    </w:p>
    <w:p>
      <w:pPr>
        <w:spacing w:after="0" w:line="6"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20"/>
          <w:szCs w:val="20"/>
          <w:b w:val="1"/>
          <w:bCs w:val="1"/>
          <w:color w:val="auto"/>
        </w:rPr>
        <w:t>MARSHFIELD LAND, LLC</w:t>
      </w:r>
    </w:p>
    <w:p>
      <w:pPr>
        <w:spacing w:after="0" w:line="6"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20"/>
          <w:szCs w:val="20"/>
          <w:b w:val="1"/>
          <w:bCs w:val="1"/>
          <w:color w:val="auto"/>
        </w:rPr>
        <w:t>BH INVESTMENT HOLDINGS, LLC</w:t>
      </w:r>
    </w:p>
    <w:p>
      <w:pPr>
        <w:spacing w:after="0" w:line="396" w:lineRule="exact"/>
        <w:rPr>
          <w:sz w:val="20"/>
          <w:szCs w:val="20"/>
          <w:color w:val="auto"/>
        </w:rPr>
      </w:pPr>
    </w:p>
    <w:tbl>
      <w:tblPr>
        <w:tblLayout w:type="fixed"/>
        <w:tblInd w:w="5020" w:type="dxa"/>
        <w:tblCellMar>
          <w:top w:w="0" w:type="dxa"/>
          <w:left w:w="0" w:type="dxa"/>
          <w:bottom w:w="0" w:type="dxa"/>
          <w:right w:w="0" w:type="dxa"/>
        </w:tblCellMar>
      </w:tblPr>
      <w:tr>
        <w:trPr>
          <w:trHeight w:val="262"/>
        </w:trPr>
        <w:tc>
          <w:tcPr>
            <w:tcW w:w="56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566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20"/>
                <w:szCs w:val="20"/>
                <w:color w:val="auto"/>
              </w:rPr>
              <w:t>/s/ David I. Goldberg</w:t>
            </w:r>
          </w:p>
        </w:tc>
      </w:tr>
      <w:tr>
        <w:trPr>
          <w:trHeight w:val="244"/>
        </w:trPr>
        <w:tc>
          <w:tcPr>
            <w:tcW w:w="560" w:type="dxa"/>
            <w:vAlign w:val="bottom"/>
          </w:tcPr>
          <w:p>
            <w:pPr>
              <w:spacing w:after="0"/>
              <w:rPr>
                <w:sz w:val="21"/>
                <w:szCs w:val="21"/>
                <w:color w:val="auto"/>
              </w:rPr>
            </w:pPr>
          </w:p>
        </w:tc>
        <w:tc>
          <w:tcPr>
            <w:tcW w:w="10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Name:</w:t>
            </w:r>
          </w:p>
        </w:tc>
        <w:tc>
          <w:tcPr>
            <w:tcW w:w="4580" w:type="dxa"/>
            <w:vAlign w:val="bottom"/>
          </w:tcPr>
          <w:p>
            <w:pPr>
              <w:ind w:left="480"/>
              <w:spacing w:after="0"/>
              <w:rPr>
                <w:sz w:val="20"/>
                <w:szCs w:val="20"/>
                <w:color w:val="auto"/>
              </w:rPr>
            </w:pPr>
            <w:r>
              <w:rPr>
                <w:rFonts w:ascii="Times New Roman" w:cs="Times New Roman" w:eastAsia="Times New Roman" w:hAnsi="Times New Roman"/>
                <w:sz w:val="20"/>
                <w:szCs w:val="20"/>
                <w:color w:val="auto"/>
              </w:rPr>
              <w:t>David I. Goldberg</w:t>
            </w:r>
          </w:p>
        </w:tc>
      </w:tr>
      <w:tr>
        <w:trPr>
          <w:trHeight w:val="258"/>
        </w:trPr>
        <w:tc>
          <w:tcPr>
            <w:tcW w:w="560" w:type="dxa"/>
            <w:vAlign w:val="bottom"/>
          </w:tcPr>
          <w:p>
            <w:pPr>
              <w:spacing w:after="0"/>
              <w:rPr>
                <w:sz w:val="22"/>
                <w:szCs w:val="22"/>
                <w:color w:val="auto"/>
              </w:rPr>
            </w:pPr>
          </w:p>
        </w:tc>
        <w:tc>
          <w:tcPr>
            <w:tcW w:w="10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Title:</w:t>
            </w:r>
          </w:p>
        </w:tc>
        <w:tc>
          <w:tcPr>
            <w:tcW w:w="4580" w:type="dxa"/>
            <w:vAlign w:val="bottom"/>
          </w:tcPr>
          <w:p>
            <w:pPr>
              <w:ind w:left="480"/>
              <w:spacing w:after="0"/>
              <w:rPr>
                <w:sz w:val="20"/>
                <w:szCs w:val="20"/>
                <w:color w:val="auto"/>
              </w:rPr>
            </w:pPr>
            <w:r>
              <w:rPr>
                <w:rFonts w:ascii="Times New Roman" w:cs="Times New Roman" w:eastAsia="Times New Roman" w:hAnsi="Times New Roman"/>
                <w:sz w:val="20"/>
                <w:szCs w:val="20"/>
                <w:color w:val="auto"/>
              </w:rPr>
              <w:t>Senior Vice President</w:t>
            </w:r>
          </w:p>
        </w:tc>
      </w:tr>
      <w:tr>
        <w:trPr>
          <w:trHeight w:val="635"/>
        </w:trPr>
        <w:tc>
          <w:tcPr>
            <w:tcW w:w="622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color w:val="auto"/>
              </w:rPr>
              <w:t>BEAZER MORTGAGE CORPORATION</w:t>
            </w:r>
          </w:p>
        </w:tc>
      </w:tr>
      <w:tr>
        <w:trPr>
          <w:trHeight w:val="638"/>
        </w:trPr>
        <w:tc>
          <w:tcPr>
            <w:tcW w:w="56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566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20"/>
                <w:szCs w:val="20"/>
                <w:color w:val="auto"/>
              </w:rPr>
              <w:t>/s/ David I. Goldberg</w:t>
            </w:r>
          </w:p>
        </w:tc>
      </w:tr>
      <w:tr>
        <w:trPr>
          <w:trHeight w:val="244"/>
        </w:trPr>
        <w:tc>
          <w:tcPr>
            <w:tcW w:w="560" w:type="dxa"/>
            <w:vAlign w:val="bottom"/>
          </w:tcPr>
          <w:p>
            <w:pPr>
              <w:spacing w:after="0"/>
              <w:rPr>
                <w:sz w:val="21"/>
                <w:szCs w:val="21"/>
                <w:color w:val="auto"/>
              </w:rPr>
            </w:pPr>
          </w:p>
        </w:tc>
        <w:tc>
          <w:tcPr>
            <w:tcW w:w="10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Name:</w:t>
            </w:r>
          </w:p>
        </w:tc>
        <w:tc>
          <w:tcPr>
            <w:tcW w:w="4580" w:type="dxa"/>
            <w:vAlign w:val="bottom"/>
          </w:tcPr>
          <w:p>
            <w:pPr>
              <w:ind w:left="480"/>
              <w:spacing w:after="0"/>
              <w:rPr>
                <w:sz w:val="20"/>
                <w:szCs w:val="20"/>
                <w:color w:val="auto"/>
              </w:rPr>
            </w:pPr>
            <w:r>
              <w:rPr>
                <w:rFonts w:ascii="Times New Roman" w:cs="Times New Roman" w:eastAsia="Times New Roman" w:hAnsi="Times New Roman"/>
                <w:sz w:val="20"/>
                <w:szCs w:val="20"/>
                <w:color w:val="auto"/>
              </w:rPr>
              <w:t>David I. Goldberg</w:t>
            </w:r>
          </w:p>
        </w:tc>
      </w:tr>
      <w:tr>
        <w:trPr>
          <w:trHeight w:val="258"/>
        </w:trPr>
        <w:tc>
          <w:tcPr>
            <w:tcW w:w="560" w:type="dxa"/>
            <w:vAlign w:val="bottom"/>
          </w:tcPr>
          <w:p>
            <w:pPr>
              <w:spacing w:after="0"/>
              <w:rPr>
                <w:sz w:val="22"/>
                <w:szCs w:val="22"/>
                <w:color w:val="auto"/>
              </w:rPr>
            </w:pPr>
          </w:p>
        </w:tc>
        <w:tc>
          <w:tcPr>
            <w:tcW w:w="10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Title:</w:t>
            </w:r>
          </w:p>
        </w:tc>
        <w:tc>
          <w:tcPr>
            <w:tcW w:w="4580" w:type="dxa"/>
            <w:vAlign w:val="bottom"/>
          </w:tcPr>
          <w:p>
            <w:pPr>
              <w:ind w:left="480"/>
              <w:spacing w:after="0"/>
              <w:rPr>
                <w:sz w:val="20"/>
                <w:szCs w:val="20"/>
                <w:color w:val="auto"/>
              </w:rPr>
            </w:pPr>
            <w:r>
              <w:rPr>
                <w:rFonts w:ascii="Times New Roman" w:cs="Times New Roman" w:eastAsia="Times New Roman" w:hAnsi="Times New Roman"/>
                <w:sz w:val="20"/>
                <w:szCs w:val="20"/>
                <w:color w:val="auto"/>
              </w:rPr>
              <w:t>President &amp; Chief Executive Officer</w:t>
            </w:r>
          </w:p>
        </w:tc>
      </w:tr>
    </w:tbl>
    <w:p>
      <w:pPr>
        <w:spacing w:after="0" w:line="129"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20"/>
          <w:szCs w:val="20"/>
          <w:b w:val="1"/>
          <w:bCs w:val="1"/>
          <w:color w:val="auto"/>
        </w:rPr>
        <w:t>BEAZER CLARKSBURG, LLC</w:t>
      </w:r>
    </w:p>
    <w:p>
      <w:pPr>
        <w:spacing w:after="0" w:line="32"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20"/>
          <w:szCs w:val="20"/>
          <w:b w:val="1"/>
          <w:bCs w:val="1"/>
          <w:color w:val="auto"/>
        </w:rPr>
        <w:t>BEAZER HOMES INVESTMENTS, LLC</w:t>
      </w:r>
    </w:p>
    <w:p>
      <w:pPr>
        <w:spacing w:after="0" w:line="6"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20"/>
          <w:szCs w:val="20"/>
          <w:b w:val="1"/>
          <w:bCs w:val="1"/>
          <w:color w:val="auto"/>
        </w:rPr>
        <w:t>DOVE BARRINGTON DEVELOPMENT LLC</w:t>
      </w:r>
    </w:p>
    <w:p>
      <w:pPr>
        <w:spacing w:after="0" w:line="6"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20"/>
          <w:szCs w:val="20"/>
          <w:b w:val="1"/>
          <w:bCs w:val="1"/>
          <w:color w:val="auto"/>
        </w:rPr>
        <w:t>BEAZER GAIN, LLC</w:t>
      </w:r>
    </w:p>
    <w:p>
      <w:pPr>
        <w:spacing w:after="0" w:line="13"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20"/>
          <w:szCs w:val="20"/>
          <w:b w:val="1"/>
          <w:bCs w:val="1"/>
          <w:color w:val="auto"/>
        </w:rPr>
        <w:t>BALLARD GREEN UTILITY COMPANY, LLC</w:t>
      </w:r>
    </w:p>
    <w:p>
      <w:pPr>
        <w:spacing w:after="0" w:line="200" w:lineRule="exact"/>
        <w:rPr>
          <w:sz w:val="20"/>
          <w:szCs w:val="20"/>
          <w:color w:val="auto"/>
        </w:rPr>
      </w:pPr>
    </w:p>
    <w:p>
      <w:pPr>
        <w:spacing w:after="0" w:line="203" w:lineRule="exact"/>
        <w:rPr>
          <w:sz w:val="20"/>
          <w:szCs w:val="20"/>
          <w:color w:val="auto"/>
        </w:rPr>
      </w:pPr>
    </w:p>
    <w:tbl>
      <w:tblPr>
        <w:tblLayout w:type="fixed"/>
        <w:tblInd w:w="5020" w:type="dxa"/>
        <w:tblCellMar>
          <w:top w:w="0" w:type="dxa"/>
          <w:left w:w="0" w:type="dxa"/>
          <w:bottom w:w="0" w:type="dxa"/>
          <w:right w:w="0" w:type="dxa"/>
        </w:tblCellMar>
      </w:tblPr>
      <w:tr>
        <w:trPr>
          <w:trHeight w:val="258"/>
        </w:trPr>
        <w:tc>
          <w:tcPr>
            <w:tcW w:w="56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566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BEAZER HOMES, LLC, its Sole Member</w:t>
            </w:r>
          </w:p>
        </w:tc>
      </w:tr>
      <w:tr>
        <w:trPr>
          <w:trHeight w:val="638"/>
        </w:trPr>
        <w:tc>
          <w:tcPr>
            <w:tcW w:w="56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566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20"/>
                <w:szCs w:val="20"/>
                <w:color w:val="auto"/>
              </w:rPr>
              <w:t>/s/ David I. Goldberg</w:t>
            </w:r>
          </w:p>
        </w:tc>
      </w:tr>
      <w:tr>
        <w:trPr>
          <w:trHeight w:val="244"/>
        </w:trPr>
        <w:tc>
          <w:tcPr>
            <w:tcW w:w="560" w:type="dxa"/>
            <w:vAlign w:val="bottom"/>
          </w:tcPr>
          <w:p>
            <w:pPr>
              <w:spacing w:after="0"/>
              <w:rPr>
                <w:sz w:val="21"/>
                <w:szCs w:val="21"/>
                <w:color w:val="auto"/>
              </w:rPr>
            </w:pPr>
          </w:p>
        </w:tc>
        <w:tc>
          <w:tcPr>
            <w:tcW w:w="10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Name:</w:t>
            </w:r>
          </w:p>
        </w:tc>
        <w:tc>
          <w:tcPr>
            <w:tcW w:w="4580" w:type="dxa"/>
            <w:vAlign w:val="bottom"/>
          </w:tcPr>
          <w:p>
            <w:pPr>
              <w:ind w:left="480"/>
              <w:spacing w:after="0"/>
              <w:rPr>
                <w:sz w:val="20"/>
                <w:szCs w:val="20"/>
                <w:color w:val="auto"/>
              </w:rPr>
            </w:pPr>
            <w:r>
              <w:rPr>
                <w:rFonts w:ascii="Times New Roman" w:cs="Times New Roman" w:eastAsia="Times New Roman" w:hAnsi="Times New Roman"/>
                <w:sz w:val="20"/>
                <w:szCs w:val="20"/>
                <w:color w:val="auto"/>
              </w:rPr>
              <w:t>David I. Goldberg</w:t>
            </w:r>
          </w:p>
        </w:tc>
      </w:tr>
      <w:tr>
        <w:trPr>
          <w:trHeight w:val="203"/>
        </w:trPr>
        <w:tc>
          <w:tcPr>
            <w:tcW w:w="560" w:type="dxa"/>
            <w:vAlign w:val="bottom"/>
          </w:tcPr>
          <w:p>
            <w:pPr>
              <w:spacing w:after="0"/>
              <w:rPr>
                <w:sz w:val="17"/>
                <w:szCs w:val="17"/>
                <w:color w:val="auto"/>
              </w:rPr>
            </w:pPr>
          </w:p>
        </w:tc>
        <w:tc>
          <w:tcPr>
            <w:tcW w:w="1080" w:type="dxa"/>
            <w:vAlign w:val="bottom"/>
          </w:tcPr>
          <w:p>
            <w:pPr>
              <w:ind w:left="80"/>
              <w:spacing w:after="0" w:line="203" w:lineRule="exact"/>
              <w:rPr>
                <w:sz w:val="20"/>
                <w:szCs w:val="20"/>
                <w:color w:val="auto"/>
              </w:rPr>
            </w:pPr>
            <w:r>
              <w:rPr>
                <w:rFonts w:ascii="Times New Roman" w:cs="Times New Roman" w:eastAsia="Times New Roman" w:hAnsi="Times New Roman"/>
                <w:sz w:val="20"/>
                <w:szCs w:val="20"/>
                <w:color w:val="auto"/>
              </w:rPr>
              <w:t>Title:</w:t>
            </w:r>
          </w:p>
        </w:tc>
        <w:tc>
          <w:tcPr>
            <w:tcW w:w="4580" w:type="dxa"/>
            <w:vAlign w:val="bottom"/>
          </w:tcPr>
          <w:p>
            <w:pPr>
              <w:ind w:left="480"/>
              <w:spacing w:after="0" w:line="203" w:lineRule="exact"/>
              <w:rPr>
                <w:sz w:val="20"/>
                <w:szCs w:val="20"/>
                <w:color w:val="auto"/>
              </w:rPr>
            </w:pPr>
            <w:r>
              <w:rPr>
                <w:rFonts w:ascii="Times New Roman" w:cs="Times New Roman" w:eastAsia="Times New Roman" w:hAnsi="Times New Roman"/>
                <w:sz w:val="20"/>
                <w:szCs w:val="20"/>
                <w:color w:val="auto"/>
              </w:rPr>
              <w:t>Senior Vice President &amp; Chief</w:t>
            </w:r>
          </w:p>
        </w:tc>
      </w:tr>
      <w:tr>
        <w:trPr>
          <w:trHeight w:val="258"/>
        </w:trPr>
        <w:tc>
          <w:tcPr>
            <w:tcW w:w="5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4580" w:type="dxa"/>
            <w:vAlign w:val="bottom"/>
          </w:tcPr>
          <w:p>
            <w:pPr>
              <w:ind w:left="480"/>
              <w:spacing w:after="0"/>
              <w:rPr>
                <w:sz w:val="20"/>
                <w:szCs w:val="20"/>
                <w:color w:val="auto"/>
              </w:rPr>
            </w:pPr>
            <w:r>
              <w:rPr>
                <w:rFonts w:ascii="Times New Roman" w:cs="Times New Roman" w:eastAsia="Times New Roman" w:hAnsi="Times New Roman"/>
                <w:sz w:val="20"/>
                <w:szCs w:val="20"/>
                <w:color w:val="auto"/>
              </w:rPr>
              <w:t>Financial Officer</w:t>
            </w:r>
          </w:p>
        </w:tc>
      </w:tr>
    </w:tbl>
    <w:p>
      <w:pPr>
        <w:spacing w:after="0" w:line="200" w:lineRule="exact"/>
        <w:rPr>
          <w:sz w:val="20"/>
          <w:szCs w:val="20"/>
          <w:color w:val="auto"/>
        </w:rPr>
      </w:pPr>
    </w:p>
    <w:p>
      <w:pPr>
        <w:sectPr>
          <w:pgSz w:w="11900" w:h="16838" w:orient="portrait"/>
          <w:cols w:equalWidth="0" w:num="1">
            <w:col w:w="11240"/>
          </w:cols>
          <w:pgMar w:left="320" w:top="141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[Signature Page to Second Amendment]</w:t>
      </w:r>
    </w:p>
    <w:p>
      <w:pPr>
        <w:sectPr>
          <w:pgSz w:w="11900" w:h="16838" w:orient="portrait"/>
          <w:cols w:equalWidth="0" w:num="1">
            <w:col w:w="11240"/>
          </w:cols>
          <w:pgMar w:left="320" w:top="1413" w:right="339" w:bottom="1440" w:gutter="0" w:footer="0" w:header="0"/>
          <w:type w:val="continuous"/>
        </w:sectPr>
      </w:pPr>
    </w:p>
    <w:bookmarkStart w:id="48" w:name="page49"/>
    <w:bookmarkEnd w:id="48"/>
    <w:p>
      <w:pPr>
        <w:spacing w:after="0" w:line="23"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b w:val="1"/>
          <w:bCs w:val="1"/>
          <w:color w:val="auto"/>
        </w:rPr>
        <w:t>BEAZER REALTY SERVICES, LLC</w:t>
      </w:r>
    </w:p>
    <w:p>
      <w:pPr>
        <w:spacing w:after="0" w:line="200" w:lineRule="exact"/>
        <w:rPr>
          <w:sz w:val="20"/>
          <w:szCs w:val="20"/>
          <w:color w:val="auto"/>
        </w:rPr>
      </w:pPr>
    </w:p>
    <w:p>
      <w:pPr>
        <w:spacing w:after="0" w:line="236" w:lineRule="exact"/>
        <w:rPr>
          <w:sz w:val="20"/>
          <w:szCs w:val="20"/>
          <w:color w:val="auto"/>
        </w:rPr>
      </w:pPr>
    </w:p>
    <w:tbl>
      <w:tblPr>
        <w:tblLayout w:type="fixed"/>
        <w:tblInd w:w="3900" w:type="dxa"/>
        <w:tblCellMar>
          <w:top w:w="0" w:type="dxa"/>
          <w:left w:w="0" w:type="dxa"/>
          <w:bottom w:w="0" w:type="dxa"/>
          <w:right w:w="0" w:type="dxa"/>
        </w:tblCellMar>
      </w:tblPr>
      <w:tr>
        <w:trPr>
          <w:trHeight w:val="258"/>
        </w:trPr>
        <w:tc>
          <w:tcPr>
            <w:tcW w:w="56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566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BEAZER HOMES INVESTMENTS, LLC, its Sole Member</w:t>
            </w:r>
          </w:p>
        </w:tc>
      </w:tr>
      <w:tr>
        <w:trPr>
          <w:trHeight w:val="648"/>
        </w:trPr>
        <w:tc>
          <w:tcPr>
            <w:tcW w:w="56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566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BEAZER HOMES, LLC, its Sole Member</w:t>
            </w:r>
          </w:p>
        </w:tc>
      </w:tr>
      <w:tr>
        <w:trPr>
          <w:trHeight w:val="652"/>
        </w:trPr>
        <w:tc>
          <w:tcPr>
            <w:tcW w:w="56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566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20"/>
                <w:szCs w:val="20"/>
                <w:color w:val="auto"/>
              </w:rPr>
              <w:t>/s/ David I. Goldberg</w:t>
            </w:r>
          </w:p>
        </w:tc>
      </w:tr>
      <w:tr>
        <w:trPr>
          <w:trHeight w:val="244"/>
        </w:trPr>
        <w:tc>
          <w:tcPr>
            <w:tcW w:w="560" w:type="dxa"/>
            <w:vAlign w:val="bottom"/>
          </w:tcPr>
          <w:p>
            <w:pPr>
              <w:spacing w:after="0"/>
              <w:rPr>
                <w:sz w:val="21"/>
                <w:szCs w:val="21"/>
                <w:color w:val="auto"/>
              </w:rPr>
            </w:pPr>
          </w:p>
        </w:tc>
        <w:tc>
          <w:tcPr>
            <w:tcW w:w="10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Name:</w:t>
            </w:r>
          </w:p>
        </w:tc>
        <w:tc>
          <w:tcPr>
            <w:tcW w:w="4580" w:type="dxa"/>
            <w:vAlign w:val="bottom"/>
          </w:tcPr>
          <w:p>
            <w:pPr>
              <w:ind w:left="480"/>
              <w:spacing w:after="0"/>
              <w:rPr>
                <w:sz w:val="20"/>
                <w:szCs w:val="20"/>
                <w:color w:val="auto"/>
              </w:rPr>
            </w:pPr>
            <w:r>
              <w:rPr>
                <w:rFonts w:ascii="Times New Roman" w:cs="Times New Roman" w:eastAsia="Times New Roman" w:hAnsi="Times New Roman"/>
                <w:sz w:val="20"/>
                <w:szCs w:val="20"/>
                <w:color w:val="auto"/>
              </w:rPr>
              <w:t>David I. Goldberg</w:t>
            </w:r>
          </w:p>
        </w:tc>
      </w:tr>
      <w:tr>
        <w:trPr>
          <w:trHeight w:val="203"/>
        </w:trPr>
        <w:tc>
          <w:tcPr>
            <w:tcW w:w="560" w:type="dxa"/>
            <w:vAlign w:val="bottom"/>
          </w:tcPr>
          <w:p>
            <w:pPr>
              <w:spacing w:after="0"/>
              <w:rPr>
                <w:sz w:val="17"/>
                <w:szCs w:val="17"/>
                <w:color w:val="auto"/>
              </w:rPr>
            </w:pPr>
          </w:p>
        </w:tc>
        <w:tc>
          <w:tcPr>
            <w:tcW w:w="1080" w:type="dxa"/>
            <w:vAlign w:val="bottom"/>
          </w:tcPr>
          <w:p>
            <w:pPr>
              <w:ind w:left="80"/>
              <w:spacing w:after="0" w:line="203" w:lineRule="exact"/>
              <w:rPr>
                <w:sz w:val="20"/>
                <w:szCs w:val="20"/>
                <w:color w:val="auto"/>
              </w:rPr>
            </w:pPr>
            <w:r>
              <w:rPr>
                <w:rFonts w:ascii="Times New Roman" w:cs="Times New Roman" w:eastAsia="Times New Roman" w:hAnsi="Times New Roman"/>
                <w:sz w:val="20"/>
                <w:szCs w:val="20"/>
                <w:color w:val="auto"/>
              </w:rPr>
              <w:t>Title:</w:t>
            </w:r>
          </w:p>
        </w:tc>
        <w:tc>
          <w:tcPr>
            <w:tcW w:w="4580" w:type="dxa"/>
            <w:vAlign w:val="bottom"/>
          </w:tcPr>
          <w:p>
            <w:pPr>
              <w:ind w:left="480"/>
              <w:spacing w:after="0" w:line="203" w:lineRule="exact"/>
              <w:rPr>
                <w:sz w:val="20"/>
                <w:szCs w:val="20"/>
                <w:color w:val="auto"/>
              </w:rPr>
            </w:pPr>
            <w:r>
              <w:rPr>
                <w:rFonts w:ascii="Times New Roman" w:cs="Times New Roman" w:eastAsia="Times New Roman" w:hAnsi="Times New Roman"/>
                <w:sz w:val="20"/>
                <w:szCs w:val="20"/>
                <w:color w:val="auto"/>
              </w:rPr>
              <w:t>Senior Vice President &amp; Chief</w:t>
            </w:r>
          </w:p>
        </w:tc>
      </w:tr>
      <w:tr>
        <w:trPr>
          <w:trHeight w:val="258"/>
        </w:trPr>
        <w:tc>
          <w:tcPr>
            <w:tcW w:w="5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4580" w:type="dxa"/>
            <w:vAlign w:val="bottom"/>
          </w:tcPr>
          <w:p>
            <w:pPr>
              <w:ind w:left="480"/>
              <w:spacing w:after="0"/>
              <w:rPr>
                <w:sz w:val="20"/>
                <w:szCs w:val="20"/>
                <w:color w:val="auto"/>
              </w:rPr>
            </w:pPr>
            <w:r>
              <w:rPr>
                <w:rFonts w:ascii="Times New Roman" w:cs="Times New Roman" w:eastAsia="Times New Roman" w:hAnsi="Times New Roman"/>
                <w:sz w:val="20"/>
                <w:szCs w:val="20"/>
                <w:color w:val="auto"/>
              </w:rPr>
              <w:t>Financial Officer</w:t>
            </w:r>
          </w:p>
        </w:tc>
      </w:tr>
      <w:tr>
        <w:trPr>
          <w:trHeight w:val="621"/>
        </w:trPr>
        <w:tc>
          <w:tcPr>
            <w:tcW w:w="622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color w:val="auto"/>
              </w:rPr>
              <w:t>BEAZER HOMES TEXAS, L.P.</w:t>
            </w:r>
          </w:p>
        </w:tc>
      </w:tr>
      <w:tr>
        <w:trPr>
          <w:trHeight w:val="648"/>
        </w:trPr>
        <w:tc>
          <w:tcPr>
            <w:tcW w:w="56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566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BEAZER HOMES TEXAS HOLDINGS, INC, its General Partner</w:t>
            </w:r>
          </w:p>
        </w:tc>
      </w:tr>
      <w:tr>
        <w:trPr>
          <w:trHeight w:val="652"/>
        </w:trPr>
        <w:tc>
          <w:tcPr>
            <w:tcW w:w="56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566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20"/>
                <w:szCs w:val="20"/>
                <w:color w:val="auto"/>
              </w:rPr>
              <w:t>/s/ David I. Goldberg</w:t>
            </w:r>
          </w:p>
        </w:tc>
      </w:tr>
      <w:tr>
        <w:trPr>
          <w:trHeight w:val="244"/>
        </w:trPr>
        <w:tc>
          <w:tcPr>
            <w:tcW w:w="560" w:type="dxa"/>
            <w:vAlign w:val="bottom"/>
          </w:tcPr>
          <w:p>
            <w:pPr>
              <w:spacing w:after="0"/>
              <w:rPr>
                <w:sz w:val="21"/>
                <w:szCs w:val="21"/>
                <w:color w:val="auto"/>
              </w:rPr>
            </w:pPr>
          </w:p>
        </w:tc>
        <w:tc>
          <w:tcPr>
            <w:tcW w:w="10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Name:</w:t>
            </w:r>
          </w:p>
        </w:tc>
        <w:tc>
          <w:tcPr>
            <w:tcW w:w="4580" w:type="dxa"/>
            <w:vAlign w:val="bottom"/>
          </w:tcPr>
          <w:p>
            <w:pPr>
              <w:ind w:left="480"/>
              <w:spacing w:after="0"/>
              <w:rPr>
                <w:sz w:val="20"/>
                <w:szCs w:val="20"/>
                <w:color w:val="auto"/>
              </w:rPr>
            </w:pPr>
            <w:r>
              <w:rPr>
                <w:rFonts w:ascii="Times New Roman" w:cs="Times New Roman" w:eastAsia="Times New Roman" w:hAnsi="Times New Roman"/>
                <w:sz w:val="20"/>
                <w:szCs w:val="20"/>
                <w:color w:val="auto"/>
              </w:rPr>
              <w:t>David I. Goldberg</w:t>
            </w:r>
          </w:p>
        </w:tc>
      </w:tr>
      <w:tr>
        <w:trPr>
          <w:trHeight w:val="258"/>
        </w:trPr>
        <w:tc>
          <w:tcPr>
            <w:tcW w:w="560" w:type="dxa"/>
            <w:vAlign w:val="bottom"/>
          </w:tcPr>
          <w:p>
            <w:pPr>
              <w:spacing w:after="0"/>
              <w:rPr>
                <w:sz w:val="22"/>
                <w:szCs w:val="22"/>
                <w:color w:val="auto"/>
              </w:rPr>
            </w:pPr>
          </w:p>
        </w:tc>
        <w:tc>
          <w:tcPr>
            <w:tcW w:w="10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Title:</w:t>
            </w:r>
          </w:p>
        </w:tc>
        <w:tc>
          <w:tcPr>
            <w:tcW w:w="4580" w:type="dxa"/>
            <w:vAlign w:val="bottom"/>
          </w:tcPr>
          <w:p>
            <w:pPr>
              <w:ind w:left="480"/>
              <w:spacing w:after="0"/>
              <w:rPr>
                <w:sz w:val="20"/>
                <w:szCs w:val="20"/>
                <w:color w:val="auto"/>
              </w:rPr>
            </w:pPr>
            <w:r>
              <w:rPr>
                <w:rFonts w:ascii="Times New Roman" w:cs="Times New Roman" w:eastAsia="Times New Roman" w:hAnsi="Times New Roman"/>
                <w:sz w:val="20"/>
                <w:szCs w:val="20"/>
                <w:color w:val="auto"/>
              </w:rPr>
              <w:t>Senior Vice President</w:t>
            </w:r>
          </w:p>
        </w:tc>
      </w:tr>
    </w:tbl>
    <w:p>
      <w:pPr>
        <w:spacing w:after="0" w:line="372"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b w:val="1"/>
          <w:bCs w:val="1"/>
          <w:color w:val="auto"/>
        </w:rPr>
        <w:t>BH BUILDING PRODUCTS, LP</w:t>
      </w:r>
    </w:p>
    <w:p>
      <w:pPr>
        <w:spacing w:after="0" w:line="200" w:lineRule="exact"/>
        <w:rPr>
          <w:sz w:val="20"/>
          <w:szCs w:val="20"/>
          <w:color w:val="auto"/>
        </w:rPr>
      </w:pPr>
    </w:p>
    <w:p>
      <w:pPr>
        <w:spacing w:after="0" w:line="222" w:lineRule="exact"/>
        <w:rPr>
          <w:sz w:val="20"/>
          <w:szCs w:val="20"/>
          <w:color w:val="auto"/>
        </w:rPr>
      </w:pPr>
    </w:p>
    <w:tbl>
      <w:tblPr>
        <w:tblLayout w:type="fixed"/>
        <w:tblInd w:w="3900" w:type="dxa"/>
        <w:tblCellMar>
          <w:top w:w="0" w:type="dxa"/>
          <w:left w:w="0" w:type="dxa"/>
          <w:bottom w:w="0" w:type="dxa"/>
          <w:right w:w="0" w:type="dxa"/>
        </w:tblCellMar>
      </w:tblPr>
      <w:tr>
        <w:trPr>
          <w:trHeight w:val="258"/>
        </w:trPr>
        <w:tc>
          <w:tcPr>
            <w:tcW w:w="56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566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BH PROCUREMENT SERVICES, INC, its General Partner</w:t>
            </w:r>
          </w:p>
        </w:tc>
      </w:tr>
      <w:tr>
        <w:trPr>
          <w:trHeight w:val="661"/>
        </w:trPr>
        <w:tc>
          <w:tcPr>
            <w:tcW w:w="56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566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BEAZER HOMES TEXAS, L.P., its Sole Member</w:t>
            </w:r>
          </w:p>
        </w:tc>
      </w:tr>
      <w:tr>
        <w:trPr>
          <w:trHeight w:val="662"/>
        </w:trPr>
        <w:tc>
          <w:tcPr>
            <w:tcW w:w="56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566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BEAZER HOMES TEXAS HOLDINGS, INC, its General Partner</w:t>
            </w:r>
          </w:p>
        </w:tc>
      </w:tr>
      <w:tr>
        <w:trPr>
          <w:trHeight w:val="638"/>
        </w:trPr>
        <w:tc>
          <w:tcPr>
            <w:tcW w:w="56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566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20"/>
                <w:szCs w:val="20"/>
                <w:color w:val="auto"/>
              </w:rPr>
              <w:t>/s/ David I. Goldberg</w:t>
            </w:r>
          </w:p>
        </w:tc>
      </w:tr>
      <w:tr>
        <w:trPr>
          <w:trHeight w:val="244"/>
        </w:trPr>
        <w:tc>
          <w:tcPr>
            <w:tcW w:w="560" w:type="dxa"/>
            <w:vAlign w:val="bottom"/>
          </w:tcPr>
          <w:p>
            <w:pPr>
              <w:spacing w:after="0"/>
              <w:rPr>
                <w:sz w:val="21"/>
                <w:szCs w:val="21"/>
                <w:color w:val="auto"/>
              </w:rPr>
            </w:pPr>
          </w:p>
        </w:tc>
        <w:tc>
          <w:tcPr>
            <w:tcW w:w="10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Name:</w:t>
            </w:r>
          </w:p>
        </w:tc>
        <w:tc>
          <w:tcPr>
            <w:tcW w:w="4580" w:type="dxa"/>
            <w:vAlign w:val="bottom"/>
          </w:tcPr>
          <w:p>
            <w:pPr>
              <w:ind w:left="480"/>
              <w:spacing w:after="0"/>
              <w:rPr>
                <w:sz w:val="20"/>
                <w:szCs w:val="20"/>
                <w:color w:val="auto"/>
              </w:rPr>
            </w:pPr>
            <w:r>
              <w:rPr>
                <w:rFonts w:ascii="Times New Roman" w:cs="Times New Roman" w:eastAsia="Times New Roman" w:hAnsi="Times New Roman"/>
                <w:sz w:val="20"/>
                <w:szCs w:val="20"/>
                <w:color w:val="auto"/>
              </w:rPr>
              <w:t>David I. Goldberg</w:t>
            </w:r>
          </w:p>
        </w:tc>
      </w:tr>
      <w:tr>
        <w:trPr>
          <w:trHeight w:val="258"/>
        </w:trPr>
        <w:tc>
          <w:tcPr>
            <w:tcW w:w="560" w:type="dxa"/>
            <w:vAlign w:val="bottom"/>
          </w:tcPr>
          <w:p>
            <w:pPr>
              <w:spacing w:after="0"/>
              <w:rPr>
                <w:sz w:val="22"/>
                <w:szCs w:val="22"/>
                <w:color w:val="auto"/>
              </w:rPr>
            </w:pPr>
          </w:p>
        </w:tc>
        <w:tc>
          <w:tcPr>
            <w:tcW w:w="10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Title:</w:t>
            </w:r>
          </w:p>
        </w:tc>
        <w:tc>
          <w:tcPr>
            <w:tcW w:w="4580" w:type="dxa"/>
            <w:vAlign w:val="bottom"/>
          </w:tcPr>
          <w:p>
            <w:pPr>
              <w:ind w:left="480"/>
              <w:spacing w:after="0"/>
              <w:rPr>
                <w:sz w:val="20"/>
                <w:szCs w:val="20"/>
                <w:color w:val="auto"/>
              </w:rPr>
            </w:pPr>
            <w:r>
              <w:rPr>
                <w:rFonts w:ascii="Times New Roman" w:cs="Times New Roman" w:eastAsia="Times New Roman" w:hAnsi="Times New Roman"/>
                <w:sz w:val="20"/>
                <w:szCs w:val="20"/>
                <w:color w:val="auto"/>
              </w:rPr>
              <w:t>Senior 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20"/>
          <w:szCs w:val="20"/>
          <w:color w:val="auto"/>
        </w:rPr>
        <w:t>[Signature Page to Second Amendment]</w:t>
      </w:r>
    </w:p>
    <w:p>
      <w:pPr>
        <w:sectPr>
          <w:pgSz w:w="11900" w:h="16838" w:orient="portrait"/>
          <w:cols w:equalWidth="0" w:num="1">
            <w:col w:w="10120"/>
          </w:cols>
          <w:pgMar w:left="1440" w:top="1440" w:right="339" w:bottom="1440" w:gutter="0" w:footer="0" w:header="0"/>
        </w:sectPr>
      </w:pPr>
    </w:p>
    <w:bookmarkStart w:id="49" w:name="page50"/>
    <w:bookmarkEnd w:id="49"/>
    <w:p>
      <w:pPr>
        <w:spacing w:after="0" w:line="23"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b w:val="1"/>
          <w:bCs w:val="1"/>
          <w:color w:val="auto"/>
        </w:rPr>
        <w:t>BH PROCUREMENT SERVICES, INC.</w:t>
      </w:r>
    </w:p>
    <w:p>
      <w:pPr>
        <w:spacing w:after="0" w:line="200" w:lineRule="exact"/>
        <w:rPr>
          <w:sz w:val="20"/>
          <w:szCs w:val="20"/>
          <w:color w:val="auto"/>
        </w:rPr>
      </w:pPr>
    </w:p>
    <w:p>
      <w:pPr>
        <w:spacing w:after="0" w:line="236" w:lineRule="exact"/>
        <w:rPr>
          <w:sz w:val="20"/>
          <w:szCs w:val="20"/>
          <w:color w:val="auto"/>
        </w:rPr>
      </w:pPr>
    </w:p>
    <w:tbl>
      <w:tblPr>
        <w:tblLayout w:type="fixed"/>
        <w:tblInd w:w="3900" w:type="dxa"/>
        <w:tblCellMar>
          <w:top w:w="0" w:type="dxa"/>
          <w:left w:w="0" w:type="dxa"/>
          <w:bottom w:w="0" w:type="dxa"/>
          <w:right w:w="0" w:type="dxa"/>
        </w:tblCellMar>
      </w:tblPr>
      <w:tr>
        <w:trPr>
          <w:trHeight w:val="258"/>
        </w:trPr>
        <w:tc>
          <w:tcPr>
            <w:tcW w:w="56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566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BEAZER HOMES TEXAS, L.P., its Sole Shareholder</w:t>
            </w:r>
          </w:p>
        </w:tc>
      </w:tr>
      <w:tr>
        <w:trPr>
          <w:trHeight w:val="648"/>
        </w:trPr>
        <w:tc>
          <w:tcPr>
            <w:tcW w:w="56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566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BEAZER HOMES TEXAS HOLDINGS, INC, its General Partner</w:t>
            </w:r>
          </w:p>
        </w:tc>
      </w:tr>
      <w:tr>
        <w:trPr>
          <w:trHeight w:val="652"/>
        </w:trPr>
        <w:tc>
          <w:tcPr>
            <w:tcW w:w="56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566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20"/>
                <w:szCs w:val="20"/>
                <w:color w:val="auto"/>
              </w:rPr>
              <w:t>/s/ David I. Goldberg</w:t>
            </w:r>
          </w:p>
        </w:tc>
      </w:tr>
      <w:tr>
        <w:trPr>
          <w:trHeight w:val="244"/>
        </w:trPr>
        <w:tc>
          <w:tcPr>
            <w:tcW w:w="560" w:type="dxa"/>
            <w:vAlign w:val="bottom"/>
          </w:tcPr>
          <w:p>
            <w:pPr>
              <w:spacing w:after="0"/>
              <w:rPr>
                <w:sz w:val="21"/>
                <w:szCs w:val="21"/>
                <w:color w:val="auto"/>
              </w:rPr>
            </w:pPr>
          </w:p>
        </w:tc>
        <w:tc>
          <w:tcPr>
            <w:tcW w:w="10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Name:</w:t>
            </w:r>
          </w:p>
        </w:tc>
        <w:tc>
          <w:tcPr>
            <w:tcW w:w="4580" w:type="dxa"/>
            <w:vAlign w:val="bottom"/>
          </w:tcPr>
          <w:p>
            <w:pPr>
              <w:ind w:left="480"/>
              <w:spacing w:after="0"/>
              <w:rPr>
                <w:sz w:val="20"/>
                <w:szCs w:val="20"/>
                <w:color w:val="auto"/>
              </w:rPr>
            </w:pPr>
            <w:r>
              <w:rPr>
                <w:rFonts w:ascii="Times New Roman" w:cs="Times New Roman" w:eastAsia="Times New Roman" w:hAnsi="Times New Roman"/>
                <w:sz w:val="20"/>
                <w:szCs w:val="20"/>
                <w:color w:val="auto"/>
              </w:rPr>
              <w:t>David I. Goldberg</w:t>
            </w:r>
          </w:p>
        </w:tc>
      </w:tr>
      <w:tr>
        <w:trPr>
          <w:trHeight w:val="258"/>
        </w:trPr>
        <w:tc>
          <w:tcPr>
            <w:tcW w:w="560" w:type="dxa"/>
            <w:vAlign w:val="bottom"/>
          </w:tcPr>
          <w:p>
            <w:pPr>
              <w:spacing w:after="0"/>
              <w:rPr>
                <w:sz w:val="22"/>
                <w:szCs w:val="22"/>
                <w:color w:val="auto"/>
              </w:rPr>
            </w:pPr>
          </w:p>
        </w:tc>
        <w:tc>
          <w:tcPr>
            <w:tcW w:w="10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Title:</w:t>
            </w:r>
          </w:p>
        </w:tc>
        <w:tc>
          <w:tcPr>
            <w:tcW w:w="4580" w:type="dxa"/>
            <w:vAlign w:val="bottom"/>
          </w:tcPr>
          <w:p>
            <w:pPr>
              <w:ind w:left="480"/>
              <w:spacing w:after="0"/>
              <w:rPr>
                <w:sz w:val="20"/>
                <w:szCs w:val="20"/>
                <w:color w:val="auto"/>
              </w:rPr>
            </w:pPr>
            <w:r>
              <w:rPr>
                <w:rFonts w:ascii="Times New Roman" w:cs="Times New Roman" w:eastAsia="Times New Roman" w:hAnsi="Times New Roman"/>
                <w:sz w:val="20"/>
                <w:szCs w:val="20"/>
                <w:color w:val="auto"/>
              </w:rPr>
              <w:t>Senior Vice President</w:t>
            </w:r>
          </w:p>
        </w:tc>
      </w:tr>
      <w:tr>
        <w:trPr>
          <w:trHeight w:val="634"/>
        </w:trPr>
        <w:tc>
          <w:tcPr>
            <w:tcW w:w="622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color w:val="auto"/>
              </w:rPr>
              <w:t>BEAZER HOMES INDIANA LLP</w:t>
            </w:r>
          </w:p>
        </w:tc>
      </w:tr>
      <w:tr>
        <w:trPr>
          <w:trHeight w:val="648"/>
        </w:trPr>
        <w:tc>
          <w:tcPr>
            <w:tcW w:w="56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566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BEAZER HOMES INVESTMENTS, LLC, its Managing Partner</w:t>
            </w:r>
          </w:p>
        </w:tc>
      </w:tr>
      <w:tr>
        <w:trPr>
          <w:trHeight w:val="662"/>
        </w:trPr>
        <w:tc>
          <w:tcPr>
            <w:tcW w:w="56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566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BEAZER HOMES, LLC, its Sole Member</w:t>
            </w:r>
          </w:p>
        </w:tc>
      </w:tr>
      <w:tr>
        <w:trPr>
          <w:trHeight w:val="652"/>
        </w:trPr>
        <w:tc>
          <w:tcPr>
            <w:tcW w:w="56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566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20"/>
                <w:szCs w:val="20"/>
                <w:color w:val="auto"/>
              </w:rPr>
              <w:t>/s/ David I. Goldberg</w:t>
            </w:r>
          </w:p>
        </w:tc>
      </w:tr>
      <w:tr>
        <w:trPr>
          <w:trHeight w:val="244"/>
        </w:trPr>
        <w:tc>
          <w:tcPr>
            <w:tcW w:w="560" w:type="dxa"/>
            <w:vAlign w:val="bottom"/>
          </w:tcPr>
          <w:p>
            <w:pPr>
              <w:spacing w:after="0"/>
              <w:rPr>
                <w:sz w:val="21"/>
                <w:szCs w:val="21"/>
                <w:color w:val="auto"/>
              </w:rPr>
            </w:pPr>
          </w:p>
        </w:tc>
        <w:tc>
          <w:tcPr>
            <w:tcW w:w="10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Name:</w:t>
            </w:r>
          </w:p>
        </w:tc>
        <w:tc>
          <w:tcPr>
            <w:tcW w:w="4580" w:type="dxa"/>
            <w:vAlign w:val="bottom"/>
          </w:tcPr>
          <w:p>
            <w:pPr>
              <w:ind w:left="480"/>
              <w:spacing w:after="0"/>
              <w:rPr>
                <w:sz w:val="20"/>
                <w:szCs w:val="20"/>
                <w:color w:val="auto"/>
              </w:rPr>
            </w:pPr>
            <w:r>
              <w:rPr>
                <w:rFonts w:ascii="Times New Roman" w:cs="Times New Roman" w:eastAsia="Times New Roman" w:hAnsi="Times New Roman"/>
                <w:sz w:val="20"/>
                <w:szCs w:val="20"/>
                <w:color w:val="auto"/>
              </w:rPr>
              <w:t>David I. Goldberg</w:t>
            </w:r>
          </w:p>
        </w:tc>
      </w:tr>
      <w:tr>
        <w:trPr>
          <w:trHeight w:val="198"/>
        </w:trPr>
        <w:tc>
          <w:tcPr>
            <w:tcW w:w="560" w:type="dxa"/>
            <w:vAlign w:val="bottom"/>
          </w:tcPr>
          <w:p>
            <w:pPr>
              <w:spacing w:after="0"/>
              <w:rPr>
                <w:sz w:val="17"/>
                <w:szCs w:val="17"/>
                <w:color w:val="auto"/>
              </w:rPr>
            </w:pPr>
          </w:p>
        </w:tc>
        <w:tc>
          <w:tcPr>
            <w:tcW w:w="1080" w:type="dxa"/>
            <w:vAlign w:val="bottom"/>
          </w:tcPr>
          <w:p>
            <w:pPr>
              <w:ind w:left="80"/>
              <w:spacing w:after="0" w:line="198" w:lineRule="exact"/>
              <w:rPr>
                <w:sz w:val="20"/>
                <w:szCs w:val="20"/>
                <w:color w:val="auto"/>
              </w:rPr>
            </w:pPr>
            <w:r>
              <w:rPr>
                <w:rFonts w:ascii="Times New Roman" w:cs="Times New Roman" w:eastAsia="Times New Roman" w:hAnsi="Times New Roman"/>
                <w:sz w:val="20"/>
                <w:szCs w:val="20"/>
                <w:color w:val="auto"/>
              </w:rPr>
              <w:t>Title:</w:t>
            </w:r>
          </w:p>
        </w:tc>
        <w:tc>
          <w:tcPr>
            <w:tcW w:w="4580" w:type="dxa"/>
            <w:vAlign w:val="bottom"/>
          </w:tcPr>
          <w:p>
            <w:pPr>
              <w:ind w:left="480"/>
              <w:spacing w:after="0" w:line="198" w:lineRule="exact"/>
              <w:rPr>
                <w:sz w:val="20"/>
                <w:szCs w:val="20"/>
                <w:color w:val="auto"/>
              </w:rPr>
            </w:pPr>
            <w:r>
              <w:rPr>
                <w:rFonts w:ascii="Times New Roman" w:cs="Times New Roman" w:eastAsia="Times New Roman" w:hAnsi="Times New Roman"/>
                <w:sz w:val="20"/>
                <w:szCs w:val="20"/>
                <w:color w:val="auto"/>
              </w:rPr>
              <w:t>Senior Vice President &amp; Chief</w:t>
            </w:r>
          </w:p>
        </w:tc>
      </w:tr>
      <w:tr>
        <w:trPr>
          <w:trHeight w:val="258"/>
        </w:trPr>
        <w:tc>
          <w:tcPr>
            <w:tcW w:w="5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4580" w:type="dxa"/>
            <w:vAlign w:val="bottom"/>
          </w:tcPr>
          <w:p>
            <w:pPr>
              <w:ind w:left="480"/>
              <w:spacing w:after="0"/>
              <w:rPr>
                <w:sz w:val="20"/>
                <w:szCs w:val="20"/>
                <w:color w:val="auto"/>
              </w:rPr>
            </w:pPr>
            <w:r>
              <w:rPr>
                <w:rFonts w:ascii="Times New Roman" w:cs="Times New Roman" w:eastAsia="Times New Roman" w:hAnsi="Times New Roman"/>
                <w:sz w:val="20"/>
                <w:szCs w:val="20"/>
                <w:color w:val="auto"/>
              </w:rPr>
              <w:t>Financial Officer</w:t>
            </w:r>
          </w:p>
        </w:tc>
      </w:tr>
      <w:tr>
        <w:trPr>
          <w:trHeight w:val="612"/>
        </w:trPr>
        <w:tc>
          <w:tcPr>
            <w:tcW w:w="622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color w:val="auto"/>
              </w:rPr>
              <w:t>CLARKSBURG ARORA LLC</w:t>
            </w:r>
          </w:p>
        </w:tc>
      </w:tr>
      <w:tr>
        <w:trPr>
          <w:trHeight w:val="661"/>
        </w:trPr>
        <w:tc>
          <w:tcPr>
            <w:tcW w:w="56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566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BEAZER CLARKSBURG, LLC, its Sole Member</w:t>
            </w:r>
          </w:p>
        </w:tc>
      </w:tr>
      <w:tr>
        <w:trPr>
          <w:trHeight w:val="662"/>
        </w:trPr>
        <w:tc>
          <w:tcPr>
            <w:tcW w:w="56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566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BEAZER HOMES, LLC, its Sole Member</w:t>
            </w:r>
          </w:p>
        </w:tc>
      </w:tr>
      <w:tr>
        <w:trPr>
          <w:trHeight w:val="638"/>
        </w:trPr>
        <w:tc>
          <w:tcPr>
            <w:tcW w:w="56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566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20"/>
                <w:szCs w:val="20"/>
                <w:color w:val="auto"/>
              </w:rPr>
              <w:t>/s/ David I. Goldberg</w:t>
            </w:r>
          </w:p>
        </w:tc>
      </w:tr>
      <w:tr>
        <w:trPr>
          <w:trHeight w:val="244"/>
        </w:trPr>
        <w:tc>
          <w:tcPr>
            <w:tcW w:w="560" w:type="dxa"/>
            <w:vAlign w:val="bottom"/>
          </w:tcPr>
          <w:p>
            <w:pPr>
              <w:spacing w:after="0"/>
              <w:rPr>
                <w:sz w:val="21"/>
                <w:szCs w:val="21"/>
                <w:color w:val="auto"/>
              </w:rPr>
            </w:pPr>
          </w:p>
        </w:tc>
        <w:tc>
          <w:tcPr>
            <w:tcW w:w="10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Name:</w:t>
            </w:r>
          </w:p>
        </w:tc>
        <w:tc>
          <w:tcPr>
            <w:tcW w:w="4580" w:type="dxa"/>
            <w:vAlign w:val="bottom"/>
          </w:tcPr>
          <w:p>
            <w:pPr>
              <w:ind w:left="480"/>
              <w:spacing w:after="0"/>
              <w:rPr>
                <w:sz w:val="20"/>
                <w:szCs w:val="20"/>
                <w:color w:val="auto"/>
              </w:rPr>
            </w:pPr>
            <w:r>
              <w:rPr>
                <w:rFonts w:ascii="Times New Roman" w:cs="Times New Roman" w:eastAsia="Times New Roman" w:hAnsi="Times New Roman"/>
                <w:sz w:val="20"/>
                <w:szCs w:val="20"/>
                <w:color w:val="auto"/>
              </w:rPr>
              <w:t>David I. Goldberg</w:t>
            </w:r>
          </w:p>
        </w:tc>
      </w:tr>
      <w:tr>
        <w:trPr>
          <w:trHeight w:val="203"/>
        </w:trPr>
        <w:tc>
          <w:tcPr>
            <w:tcW w:w="560" w:type="dxa"/>
            <w:vAlign w:val="bottom"/>
          </w:tcPr>
          <w:p>
            <w:pPr>
              <w:spacing w:after="0"/>
              <w:rPr>
                <w:sz w:val="17"/>
                <w:szCs w:val="17"/>
                <w:color w:val="auto"/>
              </w:rPr>
            </w:pPr>
          </w:p>
        </w:tc>
        <w:tc>
          <w:tcPr>
            <w:tcW w:w="1080" w:type="dxa"/>
            <w:vAlign w:val="bottom"/>
          </w:tcPr>
          <w:p>
            <w:pPr>
              <w:ind w:left="80"/>
              <w:spacing w:after="0" w:line="203" w:lineRule="exact"/>
              <w:rPr>
                <w:sz w:val="20"/>
                <w:szCs w:val="20"/>
                <w:color w:val="auto"/>
              </w:rPr>
            </w:pPr>
            <w:r>
              <w:rPr>
                <w:rFonts w:ascii="Times New Roman" w:cs="Times New Roman" w:eastAsia="Times New Roman" w:hAnsi="Times New Roman"/>
                <w:sz w:val="20"/>
                <w:szCs w:val="20"/>
                <w:color w:val="auto"/>
              </w:rPr>
              <w:t>Title:</w:t>
            </w:r>
          </w:p>
        </w:tc>
        <w:tc>
          <w:tcPr>
            <w:tcW w:w="4580" w:type="dxa"/>
            <w:vAlign w:val="bottom"/>
          </w:tcPr>
          <w:p>
            <w:pPr>
              <w:ind w:left="480"/>
              <w:spacing w:after="0" w:line="203" w:lineRule="exact"/>
              <w:rPr>
                <w:sz w:val="20"/>
                <w:szCs w:val="20"/>
                <w:color w:val="auto"/>
              </w:rPr>
            </w:pPr>
            <w:r>
              <w:rPr>
                <w:rFonts w:ascii="Times New Roman" w:cs="Times New Roman" w:eastAsia="Times New Roman" w:hAnsi="Times New Roman"/>
                <w:sz w:val="20"/>
                <w:szCs w:val="20"/>
                <w:color w:val="auto"/>
              </w:rPr>
              <w:t>Senior Vice President &amp; Chief</w:t>
            </w:r>
          </w:p>
        </w:tc>
      </w:tr>
      <w:tr>
        <w:trPr>
          <w:trHeight w:val="258"/>
        </w:trPr>
        <w:tc>
          <w:tcPr>
            <w:tcW w:w="5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4580" w:type="dxa"/>
            <w:vAlign w:val="bottom"/>
          </w:tcPr>
          <w:p>
            <w:pPr>
              <w:ind w:left="480"/>
              <w:spacing w:after="0"/>
              <w:rPr>
                <w:sz w:val="20"/>
                <w:szCs w:val="20"/>
                <w:color w:val="auto"/>
              </w:rPr>
            </w:pPr>
            <w:r>
              <w:rPr>
                <w:rFonts w:ascii="Times New Roman" w:cs="Times New Roman" w:eastAsia="Times New Roman" w:hAnsi="Times New Roman"/>
                <w:sz w:val="20"/>
                <w:szCs w:val="20"/>
                <w:color w:val="auto"/>
              </w:rPr>
              <w:t>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20"/>
          <w:szCs w:val="20"/>
          <w:color w:val="auto"/>
        </w:rPr>
        <w:t>[Signature Page to Second Amendment]</w:t>
      </w:r>
    </w:p>
    <w:p>
      <w:pPr>
        <w:sectPr>
          <w:pgSz w:w="11900" w:h="16838" w:orient="portrait"/>
          <w:cols w:equalWidth="0" w:num="1">
            <w:col w:w="10120"/>
          </w:cols>
          <w:pgMar w:left="1440" w:top="1440" w:right="339" w:bottom="1440" w:gutter="0" w:footer="0" w:header="0"/>
        </w:sectPr>
      </w:pPr>
    </w:p>
    <w:bookmarkStart w:id="50" w:name="page51"/>
    <w:bookmarkEnd w:id="50"/>
    <w:p>
      <w:pPr>
        <w:spacing w:after="0" w:line="23"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b w:val="1"/>
          <w:bCs w:val="1"/>
          <w:color w:val="auto"/>
        </w:rPr>
        <w:t>CLARKSBURG SKYLARK, LLC</w:t>
      </w:r>
    </w:p>
    <w:p>
      <w:pPr>
        <w:spacing w:after="0" w:line="200" w:lineRule="exact"/>
        <w:rPr>
          <w:sz w:val="20"/>
          <w:szCs w:val="20"/>
          <w:color w:val="auto"/>
        </w:rPr>
      </w:pPr>
    </w:p>
    <w:p>
      <w:pPr>
        <w:spacing w:after="0" w:line="236" w:lineRule="exact"/>
        <w:rPr>
          <w:sz w:val="20"/>
          <w:szCs w:val="20"/>
          <w:color w:val="auto"/>
        </w:rPr>
      </w:pPr>
    </w:p>
    <w:tbl>
      <w:tblPr>
        <w:tblLayout w:type="fixed"/>
        <w:tblInd w:w="3900" w:type="dxa"/>
        <w:tblCellMar>
          <w:top w:w="0" w:type="dxa"/>
          <w:left w:w="0" w:type="dxa"/>
          <w:bottom w:w="0" w:type="dxa"/>
          <w:right w:w="0" w:type="dxa"/>
        </w:tblCellMar>
      </w:tblPr>
      <w:tr>
        <w:trPr>
          <w:trHeight w:val="258"/>
        </w:trPr>
        <w:tc>
          <w:tcPr>
            <w:tcW w:w="56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566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CLARKSBURG ARORA LLC, its Sole Member</w:t>
            </w:r>
          </w:p>
        </w:tc>
      </w:tr>
      <w:tr>
        <w:trPr>
          <w:trHeight w:val="648"/>
        </w:trPr>
        <w:tc>
          <w:tcPr>
            <w:tcW w:w="56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566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BEAZER CLARKSBURG, LLC, its Sole Member</w:t>
            </w:r>
          </w:p>
        </w:tc>
      </w:tr>
      <w:tr>
        <w:trPr>
          <w:trHeight w:val="662"/>
        </w:trPr>
        <w:tc>
          <w:tcPr>
            <w:tcW w:w="56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566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BEAZER HOMES, LLC, its Sole Member</w:t>
            </w:r>
          </w:p>
        </w:tc>
      </w:tr>
      <w:tr>
        <w:trPr>
          <w:trHeight w:val="652"/>
        </w:trPr>
        <w:tc>
          <w:tcPr>
            <w:tcW w:w="56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566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20"/>
                <w:szCs w:val="20"/>
                <w:color w:val="auto"/>
              </w:rPr>
              <w:t>/s/ David I. Goldberg</w:t>
            </w:r>
          </w:p>
        </w:tc>
      </w:tr>
      <w:tr>
        <w:trPr>
          <w:trHeight w:val="244"/>
        </w:trPr>
        <w:tc>
          <w:tcPr>
            <w:tcW w:w="560" w:type="dxa"/>
            <w:vAlign w:val="bottom"/>
          </w:tcPr>
          <w:p>
            <w:pPr>
              <w:spacing w:after="0"/>
              <w:rPr>
                <w:sz w:val="21"/>
                <w:szCs w:val="21"/>
                <w:color w:val="auto"/>
              </w:rPr>
            </w:pPr>
          </w:p>
        </w:tc>
        <w:tc>
          <w:tcPr>
            <w:tcW w:w="10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Name:</w:t>
            </w:r>
          </w:p>
        </w:tc>
        <w:tc>
          <w:tcPr>
            <w:tcW w:w="4580" w:type="dxa"/>
            <w:vAlign w:val="bottom"/>
          </w:tcPr>
          <w:p>
            <w:pPr>
              <w:ind w:left="480"/>
              <w:spacing w:after="0"/>
              <w:rPr>
                <w:sz w:val="20"/>
                <w:szCs w:val="20"/>
                <w:color w:val="auto"/>
              </w:rPr>
            </w:pPr>
            <w:r>
              <w:rPr>
                <w:rFonts w:ascii="Times New Roman" w:cs="Times New Roman" w:eastAsia="Times New Roman" w:hAnsi="Times New Roman"/>
                <w:sz w:val="20"/>
                <w:szCs w:val="20"/>
                <w:color w:val="auto"/>
              </w:rPr>
              <w:t>David I. Goldberg</w:t>
            </w:r>
          </w:p>
        </w:tc>
      </w:tr>
      <w:tr>
        <w:trPr>
          <w:trHeight w:val="198"/>
        </w:trPr>
        <w:tc>
          <w:tcPr>
            <w:tcW w:w="560" w:type="dxa"/>
            <w:vAlign w:val="bottom"/>
          </w:tcPr>
          <w:p>
            <w:pPr>
              <w:spacing w:after="0"/>
              <w:rPr>
                <w:sz w:val="17"/>
                <w:szCs w:val="17"/>
                <w:color w:val="auto"/>
              </w:rPr>
            </w:pPr>
          </w:p>
        </w:tc>
        <w:tc>
          <w:tcPr>
            <w:tcW w:w="1080" w:type="dxa"/>
            <w:vAlign w:val="bottom"/>
          </w:tcPr>
          <w:p>
            <w:pPr>
              <w:ind w:left="80"/>
              <w:spacing w:after="0" w:line="198" w:lineRule="exact"/>
              <w:rPr>
                <w:sz w:val="20"/>
                <w:szCs w:val="20"/>
                <w:color w:val="auto"/>
              </w:rPr>
            </w:pPr>
            <w:r>
              <w:rPr>
                <w:rFonts w:ascii="Times New Roman" w:cs="Times New Roman" w:eastAsia="Times New Roman" w:hAnsi="Times New Roman"/>
                <w:sz w:val="20"/>
                <w:szCs w:val="20"/>
                <w:color w:val="auto"/>
              </w:rPr>
              <w:t>Title:</w:t>
            </w:r>
          </w:p>
        </w:tc>
        <w:tc>
          <w:tcPr>
            <w:tcW w:w="4580" w:type="dxa"/>
            <w:vAlign w:val="bottom"/>
          </w:tcPr>
          <w:p>
            <w:pPr>
              <w:ind w:left="480"/>
              <w:spacing w:after="0" w:line="198" w:lineRule="exact"/>
              <w:rPr>
                <w:sz w:val="20"/>
                <w:szCs w:val="20"/>
                <w:color w:val="auto"/>
              </w:rPr>
            </w:pPr>
            <w:r>
              <w:rPr>
                <w:rFonts w:ascii="Times New Roman" w:cs="Times New Roman" w:eastAsia="Times New Roman" w:hAnsi="Times New Roman"/>
                <w:sz w:val="20"/>
                <w:szCs w:val="20"/>
                <w:color w:val="auto"/>
              </w:rPr>
              <w:t>Senior Vice President &amp; Chief</w:t>
            </w:r>
          </w:p>
        </w:tc>
      </w:tr>
      <w:tr>
        <w:trPr>
          <w:trHeight w:val="258"/>
        </w:trPr>
        <w:tc>
          <w:tcPr>
            <w:tcW w:w="5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4580" w:type="dxa"/>
            <w:vAlign w:val="bottom"/>
          </w:tcPr>
          <w:p>
            <w:pPr>
              <w:ind w:left="480"/>
              <w:spacing w:after="0"/>
              <w:rPr>
                <w:sz w:val="20"/>
                <w:szCs w:val="20"/>
                <w:color w:val="auto"/>
              </w:rPr>
            </w:pPr>
            <w:r>
              <w:rPr>
                <w:rFonts w:ascii="Times New Roman" w:cs="Times New Roman" w:eastAsia="Times New Roman" w:hAnsi="Times New Roman"/>
                <w:sz w:val="20"/>
                <w:szCs w:val="20"/>
                <w:color w:val="auto"/>
              </w:rPr>
              <w:t>Financial Officer</w:t>
            </w:r>
          </w:p>
        </w:tc>
      </w:tr>
    </w:tbl>
    <w:p>
      <w:pPr>
        <w:spacing w:after="0" w:line="34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b w:val="1"/>
          <w:bCs w:val="1"/>
          <w:color w:val="auto"/>
        </w:rPr>
        <w:t>BEAZER FUNDAMENTAL, LLC</w:t>
      </w:r>
    </w:p>
    <w:p>
      <w:pPr>
        <w:spacing w:after="0" w:line="200" w:lineRule="exact"/>
        <w:rPr>
          <w:sz w:val="20"/>
          <w:szCs w:val="20"/>
          <w:color w:val="auto"/>
        </w:rPr>
      </w:pPr>
    </w:p>
    <w:p>
      <w:pPr>
        <w:spacing w:after="0" w:line="236" w:lineRule="exact"/>
        <w:rPr>
          <w:sz w:val="20"/>
          <w:szCs w:val="20"/>
          <w:color w:val="auto"/>
        </w:rPr>
      </w:pPr>
    </w:p>
    <w:tbl>
      <w:tblPr>
        <w:tblLayout w:type="fixed"/>
        <w:tblInd w:w="3900" w:type="dxa"/>
        <w:tblCellMar>
          <w:top w:w="0" w:type="dxa"/>
          <w:left w:w="0" w:type="dxa"/>
          <w:bottom w:w="0" w:type="dxa"/>
          <w:right w:w="0" w:type="dxa"/>
        </w:tblCellMar>
      </w:tblPr>
      <w:tr>
        <w:trPr>
          <w:trHeight w:val="243"/>
        </w:trPr>
        <w:tc>
          <w:tcPr>
            <w:tcW w:w="56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566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BEAZER HOMES TEXAS HOLDINGS, INC., its Sole and</w:t>
            </w:r>
          </w:p>
        </w:tc>
      </w:tr>
      <w:tr>
        <w:trPr>
          <w:trHeight w:val="258"/>
        </w:trPr>
        <w:tc>
          <w:tcPr>
            <w:tcW w:w="560" w:type="dxa"/>
            <w:vAlign w:val="bottom"/>
          </w:tcPr>
          <w:p>
            <w:pPr>
              <w:spacing w:after="0"/>
              <w:rPr>
                <w:sz w:val="22"/>
                <w:szCs w:val="22"/>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20"/>
                <w:szCs w:val="20"/>
                <w:color w:val="auto"/>
                <w:w w:val="98"/>
              </w:rPr>
              <w:t>Managing Member</w:t>
            </w:r>
          </w:p>
        </w:tc>
        <w:tc>
          <w:tcPr>
            <w:tcW w:w="4100" w:type="dxa"/>
            <w:vAlign w:val="bottom"/>
          </w:tcPr>
          <w:p>
            <w:pPr>
              <w:spacing w:after="0"/>
              <w:rPr>
                <w:sz w:val="22"/>
                <w:szCs w:val="22"/>
                <w:color w:val="auto"/>
              </w:rPr>
            </w:pPr>
          </w:p>
        </w:tc>
      </w:tr>
      <w:tr>
        <w:trPr>
          <w:trHeight w:val="638"/>
        </w:trPr>
        <w:tc>
          <w:tcPr>
            <w:tcW w:w="56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566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20"/>
                <w:szCs w:val="20"/>
                <w:color w:val="auto"/>
              </w:rPr>
              <w:t>/s/ David I. Goldberg</w:t>
            </w:r>
          </w:p>
        </w:tc>
      </w:tr>
      <w:tr>
        <w:trPr>
          <w:trHeight w:val="244"/>
        </w:trPr>
        <w:tc>
          <w:tcPr>
            <w:tcW w:w="560" w:type="dxa"/>
            <w:vAlign w:val="bottom"/>
          </w:tcPr>
          <w:p>
            <w:pPr>
              <w:spacing w:after="0"/>
              <w:rPr>
                <w:sz w:val="21"/>
                <w:szCs w:val="21"/>
                <w:color w:val="auto"/>
              </w:rPr>
            </w:pPr>
          </w:p>
        </w:tc>
        <w:tc>
          <w:tcPr>
            <w:tcW w:w="156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Name:</w:t>
            </w:r>
          </w:p>
        </w:tc>
        <w:tc>
          <w:tcPr>
            <w:tcW w:w="4100" w:type="dxa"/>
            <w:vAlign w:val="bottom"/>
          </w:tcPr>
          <w:p>
            <w:pPr>
              <w:spacing w:after="0"/>
              <w:rPr>
                <w:sz w:val="20"/>
                <w:szCs w:val="20"/>
                <w:color w:val="auto"/>
              </w:rPr>
            </w:pPr>
            <w:r>
              <w:rPr>
                <w:rFonts w:ascii="Times New Roman" w:cs="Times New Roman" w:eastAsia="Times New Roman" w:hAnsi="Times New Roman"/>
                <w:sz w:val="20"/>
                <w:szCs w:val="20"/>
                <w:color w:val="auto"/>
              </w:rPr>
              <w:t>David I. Goldberg</w:t>
            </w:r>
          </w:p>
        </w:tc>
      </w:tr>
      <w:tr>
        <w:trPr>
          <w:trHeight w:val="258"/>
        </w:trPr>
        <w:tc>
          <w:tcPr>
            <w:tcW w:w="560" w:type="dxa"/>
            <w:vAlign w:val="bottom"/>
          </w:tcPr>
          <w:p>
            <w:pPr>
              <w:spacing w:after="0"/>
              <w:rPr>
                <w:sz w:val="22"/>
                <w:szCs w:val="22"/>
                <w:color w:val="auto"/>
              </w:rPr>
            </w:pPr>
          </w:p>
        </w:tc>
        <w:tc>
          <w:tcPr>
            <w:tcW w:w="156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Title:</w:t>
            </w:r>
          </w:p>
        </w:tc>
        <w:tc>
          <w:tcPr>
            <w:tcW w:w="4100" w:type="dxa"/>
            <w:vAlign w:val="bottom"/>
          </w:tcPr>
          <w:p>
            <w:pPr>
              <w:spacing w:after="0"/>
              <w:rPr>
                <w:sz w:val="20"/>
                <w:szCs w:val="20"/>
                <w:color w:val="auto"/>
              </w:rPr>
            </w:pPr>
            <w:r>
              <w:rPr>
                <w:rFonts w:ascii="Times New Roman" w:cs="Times New Roman" w:eastAsia="Times New Roman" w:hAnsi="Times New Roman"/>
                <w:sz w:val="20"/>
                <w:szCs w:val="20"/>
                <w:color w:val="auto"/>
              </w:rPr>
              <w:t>Senior 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20"/>
          <w:szCs w:val="20"/>
          <w:color w:val="auto"/>
        </w:rPr>
        <w:t>[Signature Page to Second Amendment]</w:t>
      </w:r>
    </w:p>
    <w:p>
      <w:pPr>
        <w:sectPr>
          <w:pgSz w:w="11900" w:h="16838" w:orient="portrait"/>
          <w:cols w:equalWidth="0" w:num="1">
            <w:col w:w="10120"/>
          </w:cols>
          <w:pgMar w:left="1440" w:top="1440" w:right="339" w:bottom="1440" w:gutter="0" w:footer="0" w:header="0"/>
        </w:sectPr>
      </w:pPr>
    </w:p>
    <w:bookmarkStart w:id="51" w:name="page52"/>
    <w:bookmarkEnd w:id="51"/>
    <w:p>
      <w:pPr>
        <w:spacing w:after="0" w:line="2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JPMORGAN CHASE BANK, N.A.,</w:t>
      </w:r>
    </w:p>
    <w:p>
      <w:pPr>
        <w:spacing w:after="0" w:line="6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as the Administrative Agent and as a Lender</w:t>
      </w:r>
    </w:p>
    <w:p>
      <w:pPr>
        <w:spacing w:after="0" w:line="200" w:lineRule="exact"/>
        <w:rPr>
          <w:sz w:val="20"/>
          <w:szCs w:val="20"/>
          <w:color w:val="auto"/>
        </w:rPr>
      </w:pPr>
    </w:p>
    <w:p>
      <w:pPr>
        <w:spacing w:after="0" w:line="218" w:lineRule="exact"/>
        <w:rPr>
          <w:sz w:val="20"/>
          <w:szCs w:val="20"/>
          <w:color w:val="auto"/>
        </w:rPr>
      </w:pPr>
    </w:p>
    <w:tbl>
      <w:tblPr>
        <w:tblLayout w:type="fixed"/>
        <w:tblInd w:w="3900" w:type="dxa"/>
        <w:tblCellMar>
          <w:top w:w="0" w:type="dxa"/>
          <w:left w:w="0" w:type="dxa"/>
          <w:bottom w:w="0" w:type="dxa"/>
          <w:right w:w="0" w:type="dxa"/>
        </w:tblCellMar>
      </w:tblPr>
      <w:tr>
        <w:trPr>
          <w:trHeight w:val="262"/>
        </w:trPr>
        <w:tc>
          <w:tcPr>
            <w:tcW w:w="56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15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/s/ Nadeige Dang</w:t>
            </w:r>
          </w:p>
        </w:tc>
        <w:tc>
          <w:tcPr>
            <w:tcW w:w="4160" w:type="dxa"/>
            <w:vAlign w:val="bottom"/>
            <w:tcBorders>
              <w:bottom w:val="single" w:sz="8" w:color="auto"/>
            </w:tcBorders>
          </w:tcPr>
          <w:p>
            <w:pPr>
              <w:spacing w:after="0"/>
              <w:rPr>
                <w:sz w:val="22"/>
                <w:szCs w:val="22"/>
                <w:color w:val="auto"/>
              </w:rPr>
            </w:pPr>
          </w:p>
        </w:tc>
      </w:tr>
      <w:tr>
        <w:trPr>
          <w:trHeight w:val="244"/>
        </w:trPr>
        <w:tc>
          <w:tcPr>
            <w:tcW w:w="560" w:type="dxa"/>
            <w:vAlign w:val="bottom"/>
          </w:tcPr>
          <w:p>
            <w:pPr>
              <w:spacing w:after="0"/>
              <w:rPr>
                <w:sz w:val="21"/>
                <w:szCs w:val="21"/>
                <w:color w:val="auto"/>
              </w:rPr>
            </w:pPr>
          </w:p>
        </w:tc>
        <w:tc>
          <w:tcPr>
            <w:tcW w:w="150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Name:</w:t>
            </w:r>
          </w:p>
        </w:tc>
        <w:tc>
          <w:tcPr>
            <w:tcW w:w="41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Nadeige Dang</w:t>
            </w:r>
          </w:p>
        </w:tc>
      </w:tr>
      <w:tr>
        <w:trPr>
          <w:trHeight w:val="258"/>
        </w:trPr>
        <w:tc>
          <w:tcPr>
            <w:tcW w:w="560" w:type="dxa"/>
            <w:vAlign w:val="bottom"/>
          </w:tcPr>
          <w:p>
            <w:pPr>
              <w:spacing w:after="0"/>
              <w:rPr>
                <w:sz w:val="22"/>
                <w:szCs w:val="22"/>
                <w:color w:val="auto"/>
              </w:rPr>
            </w:pPr>
          </w:p>
        </w:tc>
        <w:tc>
          <w:tcPr>
            <w:tcW w:w="150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Title:</w:t>
            </w:r>
          </w:p>
        </w:tc>
        <w:tc>
          <w:tcPr>
            <w:tcW w:w="41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Executive Director</w:t>
            </w:r>
          </w:p>
        </w:tc>
      </w:tr>
    </w:tbl>
    <w:p>
      <w:pPr>
        <w:spacing w:after="0" w:line="363"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BANK OF AMERICA</w:t>
      </w:r>
    </w:p>
    <w:p>
      <w:pPr>
        <w:spacing w:after="0" w:line="6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as a Lender</w:t>
      </w:r>
    </w:p>
    <w:p>
      <w:pPr>
        <w:spacing w:after="0" w:line="200" w:lineRule="exact"/>
        <w:rPr>
          <w:sz w:val="20"/>
          <w:szCs w:val="20"/>
          <w:color w:val="auto"/>
        </w:rPr>
      </w:pPr>
    </w:p>
    <w:p>
      <w:pPr>
        <w:spacing w:after="0" w:line="218" w:lineRule="exact"/>
        <w:rPr>
          <w:sz w:val="20"/>
          <w:szCs w:val="20"/>
          <w:color w:val="auto"/>
        </w:rPr>
      </w:pPr>
    </w:p>
    <w:tbl>
      <w:tblPr>
        <w:tblLayout w:type="fixed"/>
        <w:tblInd w:w="3900" w:type="dxa"/>
        <w:tblCellMar>
          <w:top w:w="0" w:type="dxa"/>
          <w:left w:w="0" w:type="dxa"/>
          <w:bottom w:w="0" w:type="dxa"/>
          <w:right w:w="0" w:type="dxa"/>
        </w:tblCellMar>
      </w:tblPr>
      <w:tr>
        <w:trPr>
          <w:trHeight w:val="262"/>
        </w:trPr>
        <w:tc>
          <w:tcPr>
            <w:tcW w:w="56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566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20"/>
                <w:szCs w:val="20"/>
                <w:color w:val="auto"/>
              </w:rPr>
              <w:t>/s/ Thomas W. Nowak</w:t>
            </w:r>
          </w:p>
        </w:tc>
      </w:tr>
      <w:tr>
        <w:trPr>
          <w:trHeight w:val="244"/>
        </w:trPr>
        <w:tc>
          <w:tcPr>
            <w:tcW w:w="560" w:type="dxa"/>
            <w:vAlign w:val="bottom"/>
          </w:tcPr>
          <w:p>
            <w:pPr>
              <w:spacing w:after="0"/>
              <w:rPr>
                <w:sz w:val="21"/>
                <w:szCs w:val="21"/>
                <w:color w:val="auto"/>
              </w:rPr>
            </w:pPr>
          </w:p>
        </w:tc>
        <w:tc>
          <w:tcPr>
            <w:tcW w:w="10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Name:</w:t>
            </w:r>
          </w:p>
        </w:tc>
        <w:tc>
          <w:tcPr>
            <w:tcW w:w="4580" w:type="dxa"/>
            <w:vAlign w:val="bottom"/>
          </w:tcPr>
          <w:p>
            <w:pPr>
              <w:ind w:left="480"/>
              <w:spacing w:after="0"/>
              <w:rPr>
                <w:sz w:val="20"/>
                <w:szCs w:val="20"/>
                <w:color w:val="auto"/>
              </w:rPr>
            </w:pPr>
            <w:r>
              <w:rPr>
                <w:rFonts w:ascii="Times New Roman" w:cs="Times New Roman" w:eastAsia="Times New Roman" w:hAnsi="Times New Roman"/>
                <w:sz w:val="20"/>
                <w:szCs w:val="20"/>
                <w:color w:val="auto"/>
              </w:rPr>
              <w:t>Thomas W. Nowak</w:t>
            </w:r>
          </w:p>
        </w:tc>
      </w:tr>
      <w:tr>
        <w:trPr>
          <w:trHeight w:val="258"/>
        </w:trPr>
        <w:tc>
          <w:tcPr>
            <w:tcW w:w="560" w:type="dxa"/>
            <w:vAlign w:val="bottom"/>
          </w:tcPr>
          <w:p>
            <w:pPr>
              <w:spacing w:after="0"/>
              <w:rPr>
                <w:sz w:val="22"/>
                <w:szCs w:val="22"/>
                <w:color w:val="auto"/>
              </w:rPr>
            </w:pPr>
          </w:p>
        </w:tc>
        <w:tc>
          <w:tcPr>
            <w:tcW w:w="10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Title:</w:t>
            </w:r>
          </w:p>
        </w:tc>
        <w:tc>
          <w:tcPr>
            <w:tcW w:w="4580" w:type="dxa"/>
            <w:vAlign w:val="bottom"/>
          </w:tcPr>
          <w:p>
            <w:pPr>
              <w:ind w:left="480"/>
              <w:spacing w:after="0"/>
              <w:rPr>
                <w:sz w:val="20"/>
                <w:szCs w:val="20"/>
                <w:color w:val="auto"/>
              </w:rPr>
            </w:pPr>
            <w:r>
              <w:rPr>
                <w:rFonts w:ascii="Times New Roman" w:cs="Times New Roman" w:eastAsia="Times New Roman" w:hAnsi="Times New Roman"/>
                <w:sz w:val="20"/>
                <w:szCs w:val="20"/>
                <w:color w:val="auto"/>
              </w:rPr>
              <w:t>Senior Vice President</w:t>
            </w:r>
          </w:p>
        </w:tc>
      </w:tr>
    </w:tbl>
    <w:p>
      <w:pPr>
        <w:spacing w:after="0" w:line="37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CITIZENS BANK N.A.</w:t>
      </w:r>
    </w:p>
    <w:p>
      <w:pPr>
        <w:spacing w:after="0" w:line="6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as a Lender</w:t>
      </w:r>
    </w:p>
    <w:p>
      <w:pPr>
        <w:spacing w:after="0" w:line="200" w:lineRule="exact"/>
        <w:rPr>
          <w:sz w:val="20"/>
          <w:szCs w:val="20"/>
          <w:color w:val="auto"/>
        </w:rPr>
      </w:pPr>
    </w:p>
    <w:p>
      <w:pPr>
        <w:spacing w:after="0" w:line="205" w:lineRule="exact"/>
        <w:rPr>
          <w:sz w:val="20"/>
          <w:szCs w:val="20"/>
          <w:color w:val="auto"/>
        </w:rPr>
      </w:pPr>
    </w:p>
    <w:tbl>
      <w:tblPr>
        <w:tblLayout w:type="fixed"/>
        <w:tblInd w:w="3900" w:type="dxa"/>
        <w:tblCellMar>
          <w:top w:w="0" w:type="dxa"/>
          <w:left w:w="0" w:type="dxa"/>
          <w:bottom w:w="0" w:type="dxa"/>
          <w:right w:w="0" w:type="dxa"/>
        </w:tblCellMar>
      </w:tblPr>
      <w:tr>
        <w:trPr>
          <w:trHeight w:val="262"/>
        </w:trPr>
        <w:tc>
          <w:tcPr>
            <w:tcW w:w="56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566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20"/>
                <w:szCs w:val="20"/>
                <w:color w:val="auto"/>
              </w:rPr>
              <w:t>/s/ Kenneth D. Stover</w:t>
            </w:r>
          </w:p>
        </w:tc>
      </w:tr>
      <w:tr>
        <w:trPr>
          <w:trHeight w:val="244"/>
        </w:trPr>
        <w:tc>
          <w:tcPr>
            <w:tcW w:w="560" w:type="dxa"/>
            <w:vAlign w:val="bottom"/>
          </w:tcPr>
          <w:p>
            <w:pPr>
              <w:spacing w:after="0"/>
              <w:rPr>
                <w:sz w:val="21"/>
                <w:szCs w:val="21"/>
                <w:color w:val="auto"/>
              </w:rPr>
            </w:pPr>
          </w:p>
        </w:tc>
        <w:tc>
          <w:tcPr>
            <w:tcW w:w="10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Name:</w:t>
            </w:r>
          </w:p>
        </w:tc>
        <w:tc>
          <w:tcPr>
            <w:tcW w:w="4580" w:type="dxa"/>
            <w:vAlign w:val="bottom"/>
          </w:tcPr>
          <w:p>
            <w:pPr>
              <w:ind w:left="480"/>
              <w:spacing w:after="0"/>
              <w:rPr>
                <w:sz w:val="20"/>
                <w:szCs w:val="20"/>
                <w:color w:val="auto"/>
              </w:rPr>
            </w:pPr>
            <w:r>
              <w:rPr>
                <w:rFonts w:ascii="Times New Roman" w:cs="Times New Roman" w:eastAsia="Times New Roman" w:hAnsi="Times New Roman"/>
                <w:sz w:val="20"/>
                <w:szCs w:val="20"/>
                <w:color w:val="auto"/>
              </w:rPr>
              <w:t>Kenneth D. Stover</w:t>
            </w:r>
          </w:p>
        </w:tc>
      </w:tr>
      <w:tr>
        <w:trPr>
          <w:trHeight w:val="258"/>
        </w:trPr>
        <w:tc>
          <w:tcPr>
            <w:tcW w:w="560" w:type="dxa"/>
            <w:vAlign w:val="bottom"/>
          </w:tcPr>
          <w:p>
            <w:pPr>
              <w:spacing w:after="0"/>
              <w:rPr>
                <w:sz w:val="22"/>
                <w:szCs w:val="22"/>
                <w:color w:val="auto"/>
              </w:rPr>
            </w:pPr>
          </w:p>
        </w:tc>
        <w:tc>
          <w:tcPr>
            <w:tcW w:w="10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Title:</w:t>
            </w:r>
          </w:p>
        </w:tc>
        <w:tc>
          <w:tcPr>
            <w:tcW w:w="4580" w:type="dxa"/>
            <w:vAlign w:val="bottom"/>
          </w:tcPr>
          <w:p>
            <w:pPr>
              <w:ind w:left="480"/>
              <w:spacing w:after="0"/>
              <w:rPr>
                <w:sz w:val="20"/>
                <w:szCs w:val="20"/>
                <w:color w:val="auto"/>
              </w:rPr>
            </w:pPr>
            <w:r>
              <w:rPr>
                <w:rFonts w:ascii="Times New Roman" w:cs="Times New Roman" w:eastAsia="Times New Roman" w:hAnsi="Times New Roman"/>
                <w:sz w:val="20"/>
                <w:szCs w:val="20"/>
                <w:color w:val="auto"/>
              </w:rPr>
              <w:t>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REGIONS BANK</w:t>
      </w:r>
    </w:p>
    <w:p>
      <w:pPr>
        <w:spacing w:after="0" w:line="6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as a Lender</w:t>
      </w:r>
    </w:p>
    <w:p>
      <w:pPr>
        <w:spacing w:after="0" w:line="200" w:lineRule="exact"/>
        <w:rPr>
          <w:sz w:val="20"/>
          <w:szCs w:val="20"/>
          <w:color w:val="auto"/>
        </w:rPr>
      </w:pPr>
    </w:p>
    <w:p>
      <w:pPr>
        <w:spacing w:after="0" w:line="218" w:lineRule="exact"/>
        <w:rPr>
          <w:sz w:val="20"/>
          <w:szCs w:val="20"/>
          <w:color w:val="auto"/>
        </w:rPr>
      </w:pPr>
    </w:p>
    <w:tbl>
      <w:tblPr>
        <w:tblLayout w:type="fixed"/>
        <w:tblInd w:w="3900" w:type="dxa"/>
        <w:tblCellMar>
          <w:top w:w="0" w:type="dxa"/>
          <w:left w:w="0" w:type="dxa"/>
          <w:bottom w:w="0" w:type="dxa"/>
          <w:right w:w="0" w:type="dxa"/>
        </w:tblCellMar>
      </w:tblPr>
      <w:tr>
        <w:trPr>
          <w:trHeight w:val="262"/>
        </w:trPr>
        <w:tc>
          <w:tcPr>
            <w:tcW w:w="56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13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/s/ Jason Bell</w:t>
            </w:r>
          </w:p>
        </w:tc>
        <w:tc>
          <w:tcPr>
            <w:tcW w:w="4320" w:type="dxa"/>
            <w:vAlign w:val="bottom"/>
            <w:tcBorders>
              <w:bottom w:val="single" w:sz="8" w:color="auto"/>
            </w:tcBorders>
          </w:tcPr>
          <w:p>
            <w:pPr>
              <w:spacing w:after="0"/>
              <w:rPr>
                <w:sz w:val="22"/>
                <w:szCs w:val="22"/>
                <w:color w:val="auto"/>
              </w:rPr>
            </w:pPr>
          </w:p>
        </w:tc>
      </w:tr>
      <w:tr>
        <w:trPr>
          <w:trHeight w:val="244"/>
        </w:trPr>
        <w:tc>
          <w:tcPr>
            <w:tcW w:w="560" w:type="dxa"/>
            <w:vAlign w:val="bottom"/>
          </w:tcPr>
          <w:p>
            <w:pPr>
              <w:spacing w:after="0"/>
              <w:rPr>
                <w:sz w:val="21"/>
                <w:szCs w:val="21"/>
                <w:color w:val="auto"/>
              </w:rPr>
            </w:pPr>
          </w:p>
        </w:tc>
        <w:tc>
          <w:tcPr>
            <w:tcW w:w="134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Name:</w:t>
            </w:r>
          </w:p>
        </w:tc>
        <w:tc>
          <w:tcPr>
            <w:tcW w:w="432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Jason Bell</w:t>
            </w:r>
          </w:p>
        </w:tc>
      </w:tr>
      <w:tr>
        <w:trPr>
          <w:trHeight w:val="258"/>
        </w:trPr>
        <w:tc>
          <w:tcPr>
            <w:tcW w:w="560" w:type="dxa"/>
            <w:vAlign w:val="bottom"/>
          </w:tcPr>
          <w:p>
            <w:pPr>
              <w:spacing w:after="0"/>
              <w:rPr>
                <w:sz w:val="22"/>
                <w:szCs w:val="22"/>
                <w:color w:val="auto"/>
              </w:rPr>
            </w:pPr>
          </w:p>
        </w:tc>
        <w:tc>
          <w:tcPr>
            <w:tcW w:w="134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Title:</w:t>
            </w:r>
          </w:p>
        </w:tc>
        <w:tc>
          <w:tcPr>
            <w:tcW w:w="432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Vice President</w:t>
            </w:r>
          </w:p>
        </w:tc>
      </w:tr>
    </w:tbl>
    <w:p>
      <w:pPr>
        <w:spacing w:after="0" w:line="363"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ROYAL BANK OF CANADA</w:t>
      </w:r>
    </w:p>
    <w:p>
      <w:pPr>
        <w:spacing w:after="0" w:line="6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as a Lender</w:t>
      </w:r>
    </w:p>
    <w:p>
      <w:pPr>
        <w:spacing w:after="0" w:line="200" w:lineRule="exact"/>
        <w:rPr>
          <w:sz w:val="20"/>
          <w:szCs w:val="20"/>
          <w:color w:val="auto"/>
        </w:rPr>
      </w:pPr>
    </w:p>
    <w:p>
      <w:pPr>
        <w:spacing w:after="0" w:line="218" w:lineRule="exact"/>
        <w:rPr>
          <w:sz w:val="20"/>
          <w:szCs w:val="20"/>
          <w:color w:val="auto"/>
        </w:rPr>
      </w:pPr>
    </w:p>
    <w:tbl>
      <w:tblPr>
        <w:tblLayout w:type="fixed"/>
        <w:tblInd w:w="3900" w:type="dxa"/>
        <w:tblCellMar>
          <w:top w:w="0" w:type="dxa"/>
          <w:left w:w="0" w:type="dxa"/>
          <w:bottom w:w="0" w:type="dxa"/>
          <w:right w:w="0" w:type="dxa"/>
        </w:tblCellMar>
      </w:tblPr>
      <w:tr>
        <w:trPr>
          <w:trHeight w:val="262"/>
        </w:trPr>
        <w:tc>
          <w:tcPr>
            <w:tcW w:w="56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566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20"/>
                <w:szCs w:val="20"/>
                <w:color w:val="auto"/>
              </w:rPr>
              <w:t>/s/ William Behuniak</w:t>
            </w:r>
          </w:p>
        </w:tc>
      </w:tr>
      <w:tr>
        <w:trPr>
          <w:trHeight w:val="244"/>
        </w:trPr>
        <w:tc>
          <w:tcPr>
            <w:tcW w:w="560" w:type="dxa"/>
            <w:vAlign w:val="bottom"/>
          </w:tcPr>
          <w:p>
            <w:pPr>
              <w:spacing w:after="0"/>
              <w:rPr>
                <w:sz w:val="21"/>
                <w:szCs w:val="21"/>
                <w:color w:val="auto"/>
              </w:rPr>
            </w:pPr>
          </w:p>
        </w:tc>
        <w:tc>
          <w:tcPr>
            <w:tcW w:w="10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Name:</w:t>
            </w:r>
          </w:p>
        </w:tc>
        <w:tc>
          <w:tcPr>
            <w:tcW w:w="4580" w:type="dxa"/>
            <w:vAlign w:val="bottom"/>
          </w:tcPr>
          <w:p>
            <w:pPr>
              <w:ind w:left="480"/>
              <w:spacing w:after="0"/>
              <w:rPr>
                <w:sz w:val="20"/>
                <w:szCs w:val="20"/>
                <w:color w:val="auto"/>
              </w:rPr>
            </w:pPr>
            <w:r>
              <w:rPr>
                <w:rFonts w:ascii="Times New Roman" w:cs="Times New Roman" w:eastAsia="Times New Roman" w:hAnsi="Times New Roman"/>
                <w:sz w:val="20"/>
                <w:szCs w:val="20"/>
                <w:color w:val="auto"/>
              </w:rPr>
              <w:t>William Behuniak</w:t>
            </w:r>
          </w:p>
        </w:tc>
      </w:tr>
      <w:tr>
        <w:trPr>
          <w:trHeight w:val="258"/>
        </w:trPr>
        <w:tc>
          <w:tcPr>
            <w:tcW w:w="560" w:type="dxa"/>
            <w:vAlign w:val="bottom"/>
          </w:tcPr>
          <w:p>
            <w:pPr>
              <w:spacing w:after="0"/>
              <w:rPr>
                <w:sz w:val="22"/>
                <w:szCs w:val="22"/>
                <w:color w:val="auto"/>
              </w:rPr>
            </w:pPr>
          </w:p>
        </w:tc>
        <w:tc>
          <w:tcPr>
            <w:tcW w:w="10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Title:</w:t>
            </w:r>
          </w:p>
        </w:tc>
        <w:tc>
          <w:tcPr>
            <w:tcW w:w="4580" w:type="dxa"/>
            <w:vAlign w:val="bottom"/>
          </w:tcPr>
          <w:p>
            <w:pPr>
              <w:ind w:left="480"/>
              <w:spacing w:after="0"/>
              <w:rPr>
                <w:sz w:val="20"/>
                <w:szCs w:val="20"/>
                <w:color w:val="auto"/>
              </w:rPr>
            </w:pPr>
            <w:r>
              <w:rPr>
                <w:rFonts w:ascii="Times New Roman" w:cs="Times New Roman" w:eastAsia="Times New Roman" w:hAnsi="Times New Roman"/>
                <w:sz w:val="20"/>
                <w:szCs w:val="20"/>
                <w:color w:val="auto"/>
              </w:rPr>
              <w:t>Authorized Signatory</w:t>
            </w:r>
          </w:p>
        </w:tc>
      </w:tr>
    </w:tbl>
    <w:p>
      <w:pPr>
        <w:spacing w:after="0" w:line="200" w:lineRule="exact"/>
        <w:rPr>
          <w:sz w:val="20"/>
          <w:szCs w:val="20"/>
          <w:color w:val="auto"/>
        </w:rPr>
      </w:pPr>
    </w:p>
    <w:p>
      <w:pPr>
        <w:sectPr>
          <w:pgSz w:w="11900" w:h="16838" w:orient="portrait"/>
          <w:cols w:equalWidth="0" w:num="1">
            <w:col w:w="10120"/>
          </w:cols>
          <w:pgMar w:left="144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9"/>
          <w:szCs w:val="19"/>
          <w:color w:val="auto"/>
        </w:rPr>
        <w:t>[Signature Page to Second Amendment]</w:t>
      </w:r>
    </w:p>
    <w:p>
      <w:pPr>
        <w:sectPr>
          <w:pgSz w:w="11900" w:h="16838" w:orient="portrait"/>
          <w:cols w:equalWidth="0" w:num="1">
            <w:col w:w="10120"/>
          </w:cols>
          <w:pgMar w:left="1440" w:top="1440" w:right="339" w:bottom="1440" w:gutter="0" w:footer="0" w:header="0"/>
          <w:type w:val="continuous"/>
        </w:sectPr>
      </w:pPr>
    </w:p>
    <w:bookmarkStart w:id="52" w:name="page53"/>
    <w:bookmarkEnd w:id="52"/>
    <w:p>
      <w:pPr>
        <w:spacing w:after="0" w:line="2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TRUIST BANK</w:t>
      </w:r>
    </w:p>
    <w:p>
      <w:pPr>
        <w:spacing w:after="0" w:line="6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as a Lender</w:t>
      </w:r>
    </w:p>
    <w:p>
      <w:pPr>
        <w:spacing w:after="0" w:line="200" w:lineRule="exact"/>
        <w:rPr>
          <w:sz w:val="20"/>
          <w:szCs w:val="20"/>
          <w:color w:val="auto"/>
        </w:rPr>
      </w:pPr>
    </w:p>
    <w:p>
      <w:pPr>
        <w:spacing w:after="0" w:line="218" w:lineRule="exact"/>
        <w:rPr>
          <w:sz w:val="20"/>
          <w:szCs w:val="20"/>
          <w:color w:val="auto"/>
        </w:rPr>
      </w:pPr>
    </w:p>
    <w:tbl>
      <w:tblPr>
        <w:tblLayout w:type="fixed"/>
        <w:tblInd w:w="3900" w:type="dxa"/>
        <w:tblCellMar>
          <w:top w:w="0" w:type="dxa"/>
          <w:left w:w="0" w:type="dxa"/>
          <w:bottom w:w="0" w:type="dxa"/>
          <w:right w:w="0" w:type="dxa"/>
        </w:tblCellMar>
      </w:tblPr>
      <w:tr>
        <w:trPr>
          <w:trHeight w:val="262"/>
        </w:trPr>
        <w:tc>
          <w:tcPr>
            <w:tcW w:w="56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566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20"/>
                <w:szCs w:val="20"/>
                <w:color w:val="auto"/>
              </w:rPr>
              <w:t>/s/ Connor Herman</w:t>
            </w:r>
          </w:p>
        </w:tc>
      </w:tr>
      <w:tr>
        <w:trPr>
          <w:trHeight w:val="244"/>
        </w:trPr>
        <w:tc>
          <w:tcPr>
            <w:tcW w:w="560" w:type="dxa"/>
            <w:vAlign w:val="bottom"/>
          </w:tcPr>
          <w:p>
            <w:pPr>
              <w:spacing w:after="0"/>
              <w:rPr>
                <w:sz w:val="21"/>
                <w:szCs w:val="21"/>
                <w:color w:val="auto"/>
              </w:rPr>
            </w:pPr>
          </w:p>
        </w:tc>
        <w:tc>
          <w:tcPr>
            <w:tcW w:w="10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Name:</w:t>
            </w:r>
          </w:p>
        </w:tc>
        <w:tc>
          <w:tcPr>
            <w:tcW w:w="4580" w:type="dxa"/>
            <w:vAlign w:val="bottom"/>
          </w:tcPr>
          <w:p>
            <w:pPr>
              <w:ind w:left="480"/>
              <w:spacing w:after="0"/>
              <w:rPr>
                <w:sz w:val="20"/>
                <w:szCs w:val="20"/>
                <w:color w:val="auto"/>
              </w:rPr>
            </w:pPr>
            <w:r>
              <w:rPr>
                <w:rFonts w:ascii="Times New Roman" w:cs="Times New Roman" w:eastAsia="Times New Roman" w:hAnsi="Times New Roman"/>
                <w:sz w:val="20"/>
                <w:szCs w:val="20"/>
                <w:color w:val="auto"/>
              </w:rPr>
              <w:t>Connor Herman</w:t>
            </w:r>
          </w:p>
        </w:tc>
      </w:tr>
      <w:tr>
        <w:trPr>
          <w:trHeight w:val="258"/>
        </w:trPr>
        <w:tc>
          <w:tcPr>
            <w:tcW w:w="560" w:type="dxa"/>
            <w:vAlign w:val="bottom"/>
          </w:tcPr>
          <w:p>
            <w:pPr>
              <w:spacing w:after="0"/>
              <w:rPr>
                <w:sz w:val="22"/>
                <w:szCs w:val="22"/>
                <w:color w:val="auto"/>
              </w:rPr>
            </w:pPr>
          </w:p>
        </w:tc>
        <w:tc>
          <w:tcPr>
            <w:tcW w:w="10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Title:</w:t>
            </w:r>
          </w:p>
        </w:tc>
        <w:tc>
          <w:tcPr>
            <w:tcW w:w="4580" w:type="dxa"/>
            <w:vAlign w:val="bottom"/>
          </w:tcPr>
          <w:p>
            <w:pPr>
              <w:ind w:left="480"/>
              <w:spacing w:after="0"/>
              <w:rPr>
                <w:sz w:val="20"/>
                <w:szCs w:val="20"/>
                <w:color w:val="auto"/>
              </w:rPr>
            </w:pPr>
            <w:r>
              <w:rPr>
                <w:rFonts w:ascii="Times New Roman" w:cs="Times New Roman" w:eastAsia="Times New Roman" w:hAnsi="Times New Roman"/>
                <w:sz w:val="20"/>
                <w:szCs w:val="20"/>
                <w:color w:val="auto"/>
              </w:rPr>
              <w:t>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20"/>
          <w:szCs w:val="20"/>
          <w:color w:val="auto"/>
        </w:rPr>
        <w:t>[Signature Page to Second Amendment]</w:t>
      </w:r>
    </w:p>
    <w:p>
      <w:pPr>
        <w:sectPr>
          <w:pgSz w:w="11900" w:h="16838" w:orient="portrait"/>
          <w:cols w:equalWidth="0" w:num="1">
            <w:col w:w="10120"/>
          </w:cols>
          <w:pgMar w:left="1440" w:top="1440" w:right="339" w:bottom="1440" w:gutter="0" w:footer="0" w:header="0"/>
        </w:sectPr>
      </w:pPr>
    </w:p>
    <w:bookmarkStart w:id="53" w:name="page54"/>
    <w:bookmarkEnd w:id="53"/>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17 CFR 240.13a-14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PROMULGATED UNDER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Allan P. Merrill, certify that:</w:t>
      </w:r>
    </w:p>
    <w:p>
      <w:pPr>
        <w:spacing w:after="0" w:line="171" w:lineRule="exact"/>
        <w:rPr>
          <w:sz w:val="20"/>
          <w:szCs w:val="20"/>
          <w:color w:val="auto"/>
        </w:rPr>
      </w:pPr>
    </w:p>
    <w:p>
      <w:pPr>
        <w:ind w:left="1300" w:hanging="644"/>
        <w:spacing w:after="0"/>
        <w:tabs>
          <w:tab w:leader="none" w:pos="13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Beazer Homes USA, Inc.;</w:t>
      </w:r>
    </w:p>
    <w:p>
      <w:pPr>
        <w:spacing w:after="0" w:line="171" w:lineRule="exact"/>
        <w:rPr>
          <w:rFonts w:ascii="Times New Roman" w:cs="Times New Roman" w:eastAsia="Times New Roman" w:hAnsi="Times New Roman"/>
          <w:sz w:val="18"/>
          <w:szCs w:val="18"/>
          <w:color w:val="auto"/>
        </w:rPr>
      </w:pPr>
    </w:p>
    <w:p>
      <w:pPr>
        <w:ind w:left="1300" w:right="160" w:hanging="644"/>
        <w:spacing w:after="0" w:line="266" w:lineRule="auto"/>
        <w:tabs>
          <w:tab w:leader="none" w:pos="13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1300" w:right="220" w:hanging="644"/>
        <w:spacing w:after="0" w:line="312" w:lineRule="auto"/>
        <w:tabs>
          <w:tab w:leader="none" w:pos="130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5" w:lineRule="exact"/>
        <w:rPr>
          <w:rFonts w:ascii="Times New Roman" w:cs="Times New Roman" w:eastAsia="Times New Roman" w:hAnsi="Times New Roman"/>
          <w:sz w:val="17"/>
          <w:szCs w:val="17"/>
          <w:color w:val="auto"/>
        </w:rPr>
      </w:pPr>
    </w:p>
    <w:p>
      <w:pPr>
        <w:ind w:left="1300" w:right="100" w:hanging="644"/>
        <w:spacing w:after="0" w:line="276" w:lineRule="auto"/>
        <w:tabs>
          <w:tab w:leader="none" w:pos="130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13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13a-15(f) and 15d-15(f)) for the registrant and have:</w:t>
      </w:r>
    </w:p>
    <w:p>
      <w:pPr>
        <w:spacing w:after="0" w:line="152" w:lineRule="exact"/>
        <w:rPr>
          <w:rFonts w:ascii="Times New Roman" w:cs="Times New Roman" w:eastAsia="Times New Roman" w:hAnsi="Times New Roman"/>
          <w:sz w:val="17"/>
          <w:szCs w:val="17"/>
          <w:color w:val="auto"/>
        </w:rPr>
      </w:pPr>
    </w:p>
    <w:p>
      <w:pPr>
        <w:ind w:left="1960" w:right="80" w:hanging="656"/>
        <w:spacing w:after="0" w:line="266" w:lineRule="auto"/>
        <w:tabs>
          <w:tab w:leader="none" w:pos="195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ind w:left="1960" w:right="260" w:hanging="656"/>
        <w:spacing w:after="0" w:line="266" w:lineRule="auto"/>
        <w:tabs>
          <w:tab w:leader="none" w:pos="196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ind w:left="1960" w:hanging="656"/>
        <w:spacing w:after="0" w:line="266" w:lineRule="auto"/>
        <w:tabs>
          <w:tab w:leader="none" w:pos="195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1" w:lineRule="exact"/>
        <w:rPr>
          <w:rFonts w:ascii="Times New Roman" w:cs="Times New Roman" w:eastAsia="Times New Roman" w:hAnsi="Times New Roman"/>
          <w:sz w:val="18"/>
          <w:szCs w:val="18"/>
          <w:color w:val="auto"/>
        </w:rPr>
      </w:pPr>
    </w:p>
    <w:p>
      <w:pPr>
        <w:ind w:left="1960" w:right="380" w:hanging="656"/>
        <w:spacing w:after="0" w:line="266" w:lineRule="auto"/>
        <w:tabs>
          <w:tab w:leader="none" w:pos="196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ind w:left="1300" w:right="140" w:hanging="644"/>
        <w:spacing w:after="0" w:line="266" w:lineRule="auto"/>
        <w:tabs>
          <w:tab w:leader="none" w:pos="13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1" w:lineRule="exact"/>
        <w:rPr>
          <w:rFonts w:ascii="Times New Roman" w:cs="Times New Roman" w:eastAsia="Times New Roman" w:hAnsi="Times New Roman"/>
          <w:sz w:val="18"/>
          <w:szCs w:val="18"/>
          <w:color w:val="auto"/>
        </w:rPr>
      </w:pPr>
    </w:p>
    <w:p>
      <w:pPr>
        <w:ind w:left="1960" w:right="140" w:hanging="656"/>
        <w:spacing w:after="0" w:line="266" w:lineRule="auto"/>
        <w:tabs>
          <w:tab w:leader="none" w:pos="195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1" w:lineRule="exact"/>
        <w:rPr>
          <w:rFonts w:ascii="Times New Roman" w:cs="Times New Roman" w:eastAsia="Times New Roman" w:hAnsi="Times New Roman"/>
          <w:sz w:val="18"/>
          <w:szCs w:val="18"/>
          <w:color w:val="auto"/>
        </w:rPr>
      </w:pPr>
    </w:p>
    <w:p>
      <w:pPr>
        <w:ind w:left="1960" w:right="140" w:hanging="656"/>
        <w:spacing w:after="0" w:line="282" w:lineRule="auto"/>
        <w:tabs>
          <w:tab w:leader="none" w:pos="196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91" w:lineRule="exact"/>
        <w:rPr>
          <w:sz w:val="20"/>
          <w:szCs w:val="20"/>
          <w:color w:val="auto"/>
        </w:rPr>
      </w:pPr>
    </w:p>
    <w:p>
      <w:pPr>
        <w:ind w:left="5620"/>
        <w:spacing w:after="0"/>
        <w:tabs>
          <w:tab w:leader="none" w:pos="6200" w:val="left"/>
        </w:tabs>
        <w:rPr>
          <w:sz w:val="20"/>
          <w:szCs w:val="20"/>
          <w:color w:val="auto"/>
        </w:rPr>
      </w:pPr>
      <w:r>
        <w:rPr>
          <w:rFonts w:ascii="Times New Roman" w:cs="Times New Roman" w:eastAsia="Times New Roman" w:hAnsi="Times New Roman"/>
          <w:sz w:val="18"/>
          <w:szCs w:val="18"/>
          <w:color w:val="auto"/>
        </w:rPr>
        <w:t>Date:</w:t>
        <w:tab/>
        <w:t>January 29, 2026</w:t>
      </w:r>
    </w:p>
    <w:p>
      <w:pPr>
        <w:spacing w:after="0" w:line="29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Allan P. Merrill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3562350</wp:posOffset>
            </wp:positionH>
            <wp:positionV relativeFrom="paragraph">
              <wp:posOffset>17145</wp:posOffset>
            </wp:positionV>
            <wp:extent cx="355790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6">
                      <a:extLst>
                        <a:ext uri="{28A0092B-C50C-407E-A947-70E740481C1C}"/>
                      </a:extLst>
                    </a:blip>
                    <a:srcRect/>
                    <a:stretch>
                      <a:fillRect/>
                    </a:stretch>
                  </pic:blipFill>
                  <pic:spPr bwMode="auto">
                    <a:xfrm>
                      <a:off x="0" y="0"/>
                      <a:ext cx="3557905"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Allan P. Merrill</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ectPr>
          <w:pgSz w:w="11900" w:h="16838" w:orient="portrait"/>
          <w:cols w:equalWidth="0" w:num="1">
            <w:col w:w="11240"/>
          </w:cols>
          <w:pgMar w:left="320" w:top="887" w:right="339" w:bottom="1440" w:gutter="0" w:footer="0" w:header="0"/>
        </w:sectPr>
      </w:pPr>
    </w:p>
    <w:bookmarkStart w:id="54" w:name="page55"/>
    <w:bookmarkEnd w:id="54"/>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17 CFR 240.13a-14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PROMULGATED UNDER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David I. Goldberg, certify that:</w:t>
      </w:r>
    </w:p>
    <w:p>
      <w:pPr>
        <w:spacing w:after="0" w:line="171" w:lineRule="exact"/>
        <w:rPr>
          <w:sz w:val="20"/>
          <w:szCs w:val="20"/>
          <w:color w:val="auto"/>
        </w:rPr>
      </w:pPr>
    </w:p>
    <w:p>
      <w:pPr>
        <w:ind w:left="1300" w:hanging="644"/>
        <w:spacing w:after="0"/>
        <w:tabs>
          <w:tab w:leader="none" w:pos="13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Beazer Homes USA, Inc.;</w:t>
      </w:r>
    </w:p>
    <w:p>
      <w:pPr>
        <w:spacing w:after="0" w:line="171" w:lineRule="exact"/>
        <w:rPr>
          <w:rFonts w:ascii="Times New Roman" w:cs="Times New Roman" w:eastAsia="Times New Roman" w:hAnsi="Times New Roman"/>
          <w:sz w:val="18"/>
          <w:szCs w:val="18"/>
          <w:color w:val="auto"/>
        </w:rPr>
      </w:pPr>
    </w:p>
    <w:p>
      <w:pPr>
        <w:ind w:left="1300" w:right="160" w:hanging="644"/>
        <w:spacing w:after="0" w:line="266" w:lineRule="auto"/>
        <w:tabs>
          <w:tab w:leader="none" w:pos="13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1300" w:right="220" w:hanging="644"/>
        <w:spacing w:after="0" w:line="312" w:lineRule="auto"/>
        <w:tabs>
          <w:tab w:leader="none" w:pos="130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5" w:lineRule="exact"/>
        <w:rPr>
          <w:rFonts w:ascii="Times New Roman" w:cs="Times New Roman" w:eastAsia="Times New Roman" w:hAnsi="Times New Roman"/>
          <w:sz w:val="17"/>
          <w:szCs w:val="17"/>
          <w:color w:val="auto"/>
        </w:rPr>
      </w:pPr>
    </w:p>
    <w:p>
      <w:pPr>
        <w:ind w:left="1300" w:right="100" w:hanging="644"/>
        <w:spacing w:after="0" w:line="276" w:lineRule="auto"/>
        <w:tabs>
          <w:tab w:leader="none" w:pos="130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13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13a-15(f) and 15d-15(f)) for the registrant and have:</w:t>
      </w:r>
    </w:p>
    <w:p>
      <w:pPr>
        <w:spacing w:after="0" w:line="152" w:lineRule="exact"/>
        <w:rPr>
          <w:rFonts w:ascii="Times New Roman" w:cs="Times New Roman" w:eastAsia="Times New Roman" w:hAnsi="Times New Roman"/>
          <w:sz w:val="17"/>
          <w:szCs w:val="17"/>
          <w:color w:val="auto"/>
        </w:rPr>
      </w:pPr>
    </w:p>
    <w:p>
      <w:pPr>
        <w:ind w:left="1960" w:right="80" w:hanging="656"/>
        <w:spacing w:after="0" w:line="266" w:lineRule="auto"/>
        <w:tabs>
          <w:tab w:leader="none" w:pos="195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ind w:left="1960" w:right="260" w:hanging="656"/>
        <w:spacing w:after="0" w:line="266" w:lineRule="auto"/>
        <w:tabs>
          <w:tab w:leader="none" w:pos="196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ind w:left="1960" w:hanging="656"/>
        <w:spacing w:after="0" w:line="266" w:lineRule="auto"/>
        <w:tabs>
          <w:tab w:leader="none" w:pos="195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1" w:lineRule="exact"/>
        <w:rPr>
          <w:rFonts w:ascii="Times New Roman" w:cs="Times New Roman" w:eastAsia="Times New Roman" w:hAnsi="Times New Roman"/>
          <w:sz w:val="18"/>
          <w:szCs w:val="18"/>
          <w:color w:val="auto"/>
        </w:rPr>
      </w:pPr>
    </w:p>
    <w:p>
      <w:pPr>
        <w:ind w:left="1960" w:right="380" w:hanging="656"/>
        <w:spacing w:after="0" w:line="266" w:lineRule="auto"/>
        <w:tabs>
          <w:tab w:leader="none" w:pos="196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ind w:left="1300" w:right="140" w:hanging="644"/>
        <w:spacing w:after="0" w:line="266" w:lineRule="auto"/>
        <w:tabs>
          <w:tab w:leader="none" w:pos="13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1" w:lineRule="exact"/>
        <w:rPr>
          <w:rFonts w:ascii="Times New Roman" w:cs="Times New Roman" w:eastAsia="Times New Roman" w:hAnsi="Times New Roman"/>
          <w:sz w:val="18"/>
          <w:szCs w:val="18"/>
          <w:color w:val="auto"/>
        </w:rPr>
      </w:pPr>
    </w:p>
    <w:p>
      <w:pPr>
        <w:ind w:left="1960" w:right="140" w:hanging="656"/>
        <w:spacing w:after="0" w:line="266" w:lineRule="auto"/>
        <w:tabs>
          <w:tab w:leader="none" w:pos="195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1" w:lineRule="exact"/>
        <w:rPr>
          <w:rFonts w:ascii="Times New Roman" w:cs="Times New Roman" w:eastAsia="Times New Roman" w:hAnsi="Times New Roman"/>
          <w:sz w:val="18"/>
          <w:szCs w:val="18"/>
          <w:color w:val="auto"/>
        </w:rPr>
      </w:pPr>
    </w:p>
    <w:p>
      <w:pPr>
        <w:ind w:left="1960" w:right="140" w:hanging="656"/>
        <w:spacing w:after="0" w:line="282" w:lineRule="auto"/>
        <w:tabs>
          <w:tab w:leader="none" w:pos="196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91" w:lineRule="exact"/>
        <w:rPr>
          <w:sz w:val="20"/>
          <w:szCs w:val="20"/>
          <w:color w:val="auto"/>
        </w:rPr>
      </w:pPr>
    </w:p>
    <w:p>
      <w:pPr>
        <w:ind w:left="5620"/>
        <w:spacing w:after="0"/>
        <w:tabs>
          <w:tab w:leader="none" w:pos="6200" w:val="left"/>
        </w:tabs>
        <w:rPr>
          <w:sz w:val="20"/>
          <w:szCs w:val="20"/>
          <w:color w:val="auto"/>
        </w:rPr>
      </w:pPr>
      <w:r>
        <w:rPr>
          <w:rFonts w:ascii="Times New Roman" w:cs="Times New Roman" w:eastAsia="Times New Roman" w:hAnsi="Times New Roman"/>
          <w:sz w:val="18"/>
          <w:szCs w:val="18"/>
          <w:color w:val="auto"/>
        </w:rPr>
        <w:t>Date:</w:t>
        <w:tab/>
        <w:t>January 29, 2026</w:t>
      </w:r>
    </w:p>
    <w:p>
      <w:pPr>
        <w:spacing w:after="0" w:line="29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David I. Goldberg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3562350</wp:posOffset>
            </wp:positionH>
            <wp:positionV relativeFrom="paragraph">
              <wp:posOffset>17145</wp:posOffset>
            </wp:positionV>
            <wp:extent cx="355790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7">
                      <a:extLst>
                        <a:ext uri="{28A0092B-C50C-407E-A947-70E740481C1C}"/>
                      </a:extLst>
                    </a:blip>
                    <a:srcRect/>
                    <a:stretch>
                      <a:fillRect/>
                    </a:stretch>
                  </pic:blipFill>
                  <pic:spPr bwMode="auto">
                    <a:xfrm>
                      <a:off x="0" y="0"/>
                      <a:ext cx="3557905"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David I. Goldberg</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p>
      <w:pPr>
        <w:sectPr>
          <w:pgSz w:w="11900" w:h="16838" w:orient="portrait"/>
          <w:cols w:equalWidth="0" w:num="1">
            <w:col w:w="11240"/>
          </w:cols>
          <w:pgMar w:left="320" w:top="887" w:right="339" w:bottom="1440" w:gutter="0" w:footer="0" w:header="0"/>
        </w:sectPr>
      </w:pPr>
    </w:p>
    <w:bookmarkStart w:id="55" w:name="page56"/>
    <w:bookmarkEnd w:id="55"/>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53"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Pursuant to Section 906 of the Sarbanes-Oxley Act of 2002, the undersigned Chief Executive Officer of Beazer Homes USA, Inc. (the “Company”) hereby certifies that the Report on Form 10-Q of the Company for the period ended December 31, 2025, accompanying this certification, fully complies with the requirements of Section 13(a) or 15(d) of the Securities Exchange Act of 1934 and that information contained in the periodic report fairly presents, in all material respects, the financial condition and results of operations of the Company.</w:t>
      </w:r>
    </w:p>
    <w:p>
      <w:pPr>
        <w:spacing w:after="0" w:line="200" w:lineRule="exact"/>
        <w:rPr>
          <w:sz w:val="20"/>
          <w:szCs w:val="20"/>
          <w:color w:val="auto"/>
        </w:rPr>
      </w:pPr>
    </w:p>
    <w:p>
      <w:pPr>
        <w:spacing w:after="0" w:line="371" w:lineRule="exact"/>
        <w:rPr>
          <w:sz w:val="20"/>
          <w:szCs w:val="20"/>
          <w:color w:val="auto"/>
        </w:rPr>
      </w:pPr>
    </w:p>
    <w:p>
      <w:pPr>
        <w:ind w:left="5620"/>
        <w:spacing w:after="0"/>
        <w:tabs>
          <w:tab w:leader="none" w:pos="6200" w:val="left"/>
        </w:tabs>
        <w:rPr>
          <w:sz w:val="20"/>
          <w:szCs w:val="20"/>
          <w:color w:val="auto"/>
        </w:rPr>
      </w:pPr>
      <w:r>
        <w:rPr>
          <w:rFonts w:ascii="Times New Roman" w:cs="Times New Roman" w:eastAsia="Times New Roman" w:hAnsi="Times New Roman"/>
          <w:sz w:val="18"/>
          <w:szCs w:val="18"/>
          <w:color w:val="auto"/>
        </w:rPr>
        <w:t>Date:</w:t>
        <w:tab/>
        <w:t>January 29, 2026</w:t>
      </w:r>
    </w:p>
    <w:p>
      <w:pPr>
        <w:spacing w:after="0" w:line="29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Allan P. Merrill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3562350</wp:posOffset>
            </wp:positionH>
            <wp:positionV relativeFrom="paragraph">
              <wp:posOffset>17145</wp:posOffset>
            </wp:positionV>
            <wp:extent cx="355790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8">
                      <a:extLst>
                        <a:ext uri="{28A0092B-C50C-407E-A947-70E740481C1C}"/>
                      </a:extLst>
                    </a:blip>
                    <a:srcRect/>
                    <a:stretch>
                      <a:fillRect/>
                    </a:stretch>
                  </pic:blipFill>
                  <pic:spPr bwMode="auto">
                    <a:xfrm>
                      <a:off x="0" y="0"/>
                      <a:ext cx="3557905"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Allan P. Merrill</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0" w:lineRule="exact"/>
        <w:rPr>
          <w:sz w:val="20"/>
          <w:szCs w:val="20"/>
          <w:color w:val="auto"/>
        </w:rPr>
      </w:pPr>
    </w:p>
    <w:p>
      <w:pPr>
        <w:spacing w:after="0" w:line="290"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 foregoing certification is being furnished solely pursuant to Rule 13a-14(b) under the Securities Exchange Act of 1934 and Section 1350 of Title 18, United States Code, and is not being filed as part of the report or as a separate disclosure document.</w:t>
      </w:r>
    </w:p>
    <w:p>
      <w:pPr>
        <w:sectPr>
          <w:pgSz w:w="11900" w:h="16838" w:orient="portrait"/>
          <w:cols w:equalWidth="0" w:num="1">
            <w:col w:w="11240"/>
          </w:cols>
          <w:pgMar w:left="320" w:top="887" w:right="339" w:bottom="1440" w:gutter="0" w:footer="0" w:header="0"/>
        </w:sectPr>
      </w:pPr>
    </w:p>
    <w:bookmarkStart w:id="56" w:name="page57"/>
    <w:bookmarkEnd w:id="56"/>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53"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Pursuant to Section 906 of the Sarbanes-Oxley Act of 2002, the undersigned Chief Financial Officer of Beazer Homes USA, Inc. (the “Company”) hereby certifies that the Report on Form 10-Q of the Company for the period ended December 31, 2025, accompanying this certification, fully complies with the requirements of Section 13(a) or 15(d) of the Securities Exchange Act of 1934 and that information contained in the periodic report fairly presents, in all material respects, the financial condition and results of operations of the Company.</w:t>
      </w:r>
    </w:p>
    <w:p>
      <w:pPr>
        <w:spacing w:after="0" w:line="200" w:lineRule="exact"/>
        <w:rPr>
          <w:sz w:val="20"/>
          <w:szCs w:val="20"/>
          <w:color w:val="auto"/>
        </w:rPr>
      </w:pPr>
    </w:p>
    <w:p>
      <w:pPr>
        <w:spacing w:after="0" w:line="371" w:lineRule="exact"/>
        <w:rPr>
          <w:sz w:val="20"/>
          <w:szCs w:val="20"/>
          <w:color w:val="auto"/>
        </w:rPr>
      </w:pPr>
    </w:p>
    <w:p>
      <w:pPr>
        <w:ind w:left="5620"/>
        <w:spacing w:after="0"/>
        <w:tabs>
          <w:tab w:leader="none" w:pos="6200" w:val="left"/>
        </w:tabs>
        <w:rPr>
          <w:sz w:val="20"/>
          <w:szCs w:val="20"/>
          <w:color w:val="auto"/>
        </w:rPr>
      </w:pPr>
      <w:r>
        <w:rPr>
          <w:rFonts w:ascii="Times New Roman" w:cs="Times New Roman" w:eastAsia="Times New Roman" w:hAnsi="Times New Roman"/>
          <w:sz w:val="18"/>
          <w:szCs w:val="18"/>
          <w:color w:val="auto"/>
        </w:rPr>
        <w:t>Date:</w:t>
        <w:tab/>
        <w:t>January 29, 2026</w:t>
      </w:r>
    </w:p>
    <w:p>
      <w:pPr>
        <w:spacing w:after="0" w:line="29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David I. Goldberg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3562350</wp:posOffset>
            </wp:positionH>
            <wp:positionV relativeFrom="paragraph">
              <wp:posOffset>17145</wp:posOffset>
            </wp:positionV>
            <wp:extent cx="355790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9">
                      <a:extLst>
                        <a:ext uri="{28A0092B-C50C-407E-A947-70E740481C1C}"/>
                      </a:extLst>
                    </a:blip>
                    <a:srcRect/>
                    <a:stretch>
                      <a:fillRect/>
                    </a:stretch>
                  </pic:blipFill>
                  <pic:spPr bwMode="auto">
                    <a:xfrm>
                      <a:off x="0" y="0"/>
                      <a:ext cx="3557905"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David I. Goldberg</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p>
      <w:pPr>
        <w:spacing w:after="0" w:line="328"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 foregoing certification is being furnished solely pursuant to Rule 13a-14(b) under the Securities Exchange Act of 1934 and Section 1350 of Title 18, United States Code, and is not being filed as part of the report or as a separate disclosure document.</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F2DBA31"/>
    <w:multiLevelType w:val="hybridMultilevel"/>
    <w:lvl w:ilvl="0">
      <w:lvlJc w:val="left"/>
      <w:lvlText w:val="☒"/>
      <w:numFmt w:val="bullet"/>
      <w:start w:val="1"/>
    </w:lvl>
  </w:abstractNum>
  <w:abstractNum w:abstractNumId="1">
    <w:nsid w:val="7C83E458"/>
    <w:multiLevelType w:val="hybridMultilevel"/>
    <w:lvl w:ilvl="0">
      <w:lvlJc w:val="left"/>
      <w:lvlText w:val="☐"/>
      <w:numFmt w:val="bullet"/>
      <w:start w:val="1"/>
    </w:lvl>
  </w:abstractNum>
  <w:abstractNum w:abstractNumId="2">
    <w:nsid w:val="257130A3"/>
    <w:multiLevelType w:val="hybridMultilevel"/>
    <w:lvl w:ilvl="0">
      <w:lvlJc w:val="left"/>
      <w:lvlText w:val="(%1)"/>
      <w:numFmt w:val="lowerLetter"/>
      <w:start w:val="1"/>
    </w:lvl>
  </w:abstractNum>
  <w:abstractNum w:abstractNumId="3">
    <w:nsid w:val="62BBD95A"/>
    <w:multiLevelType w:val="hybridMultilevel"/>
    <w:lvl w:ilvl="0">
      <w:lvlJc w:val="left"/>
      <w:lvlText w:val="(%1)"/>
      <w:numFmt w:val="lowerLetter"/>
      <w:start w:val="1"/>
    </w:lvl>
  </w:abstractNum>
  <w:abstractNum w:abstractNumId="4">
    <w:nsid w:val="436C6125"/>
    <w:multiLevelType w:val="hybridMultilevel"/>
    <w:lvl w:ilvl="0">
      <w:lvlJc w:val="left"/>
      <w:lvlText w:val="(%1)"/>
      <w:numFmt w:val="lowerLetter"/>
      <w:start w:val="1"/>
    </w:lvl>
  </w:abstractNum>
  <w:abstractNum w:abstractNumId="5">
    <w:nsid w:val="628C895D"/>
    <w:multiLevelType w:val="hybridMultilevel"/>
    <w:lvl w:ilvl="0">
      <w:lvlJc w:val="left"/>
      <w:lvlText w:val="(%1)"/>
      <w:numFmt w:val="lowerLetter"/>
      <w:start w:val="1"/>
    </w:lvl>
  </w:abstractNum>
  <w:abstractNum w:abstractNumId="6">
    <w:nsid w:val="333AB105"/>
    <w:multiLevelType w:val="hybridMultilevel"/>
    <w:lvl w:ilvl="0">
      <w:lvlJc w:val="left"/>
      <w:lvlText w:val="(%1)"/>
      <w:numFmt w:val="lowerLetter"/>
      <w:start w:val="1"/>
    </w:lvl>
  </w:abstractNum>
  <w:abstractNum w:abstractNumId="7">
    <w:nsid w:val="721DA317"/>
    <w:multiLevelType w:val="hybridMultilevel"/>
    <w:lvl w:ilvl="0">
      <w:lvlJc w:val="left"/>
      <w:lvlText w:val="(%1)"/>
      <w:numFmt w:val="lowerLetter"/>
      <w:start w:val="1"/>
    </w:lvl>
  </w:abstractNum>
  <w:abstractNum w:abstractNumId="8">
    <w:nsid w:val="2443A858"/>
    <w:multiLevelType w:val="hybridMultilevel"/>
    <w:lvl w:ilvl="0">
      <w:lvlJc w:val="left"/>
      <w:lvlText w:val="•"/>
      <w:numFmt w:val="bullet"/>
      <w:start w:val="1"/>
    </w:lvl>
  </w:abstractNum>
  <w:abstractNum w:abstractNumId="9">
    <w:nsid w:val="2D1D5AE9"/>
    <w:multiLevelType w:val="hybridMultilevel"/>
    <w:lvl w:ilvl="0">
      <w:lvlJc w:val="left"/>
      <w:lvlText w:val="•"/>
      <w:numFmt w:val="bullet"/>
      <w:start w:val="1"/>
    </w:lvl>
  </w:abstractNum>
  <w:abstractNum w:abstractNumId="10">
    <w:nsid w:val="6763845E"/>
    <w:multiLevelType w:val="hybridMultilevel"/>
    <w:lvl w:ilvl="0">
      <w:lvlJc w:val="left"/>
      <w:lvlText w:val="(%1)"/>
      <w:numFmt w:val="lowerLetter"/>
      <w:start w:val="1"/>
    </w:lvl>
  </w:abstractNum>
  <w:abstractNum w:abstractNumId="11">
    <w:nsid w:val="75A2A8D4"/>
    <w:multiLevelType w:val="hybridMultilevel"/>
    <w:lvl w:ilvl="0">
      <w:lvlJc w:val="left"/>
      <w:lvlText w:val="(%1)"/>
      <w:numFmt w:val="lowerLetter"/>
      <w:start w:val="1"/>
    </w:lvl>
  </w:abstractNum>
  <w:abstractNum w:abstractNumId="12">
    <w:nsid w:val="8EDBDAB"/>
    <w:multiLevelType w:val="hybridMultilevel"/>
    <w:lvl w:ilvl="0">
      <w:lvlJc w:val="left"/>
      <w:lvlText w:val="(%1)"/>
      <w:numFmt w:val="lowerLetter"/>
      <w:start w:val="1"/>
    </w:lvl>
  </w:abstractNum>
  <w:abstractNum w:abstractNumId="13">
    <w:nsid w:val="79838CB2"/>
    <w:multiLevelType w:val="hybridMultilevel"/>
    <w:lvl w:ilvl="0">
      <w:lvlJc w:val="left"/>
      <w:lvlText w:val="(%1)"/>
      <w:numFmt w:val="lowerLetter"/>
      <w:start w:val="1"/>
    </w:lvl>
  </w:abstractNum>
  <w:abstractNum w:abstractNumId="14">
    <w:nsid w:val="4353D0CD"/>
    <w:multiLevelType w:val="hybridMultilevel"/>
    <w:lvl w:ilvl="0">
      <w:lvlJc w:val="left"/>
      <w:lvlText w:val="(%1)"/>
      <w:numFmt w:val="lowerLetter"/>
      <w:start w:val="1"/>
    </w:lvl>
  </w:abstractNum>
  <w:abstractNum w:abstractNumId="15">
    <w:nsid w:val="B03E0C6"/>
    <w:multiLevelType w:val="hybridMultilevel"/>
    <w:lvl w:ilvl="0">
      <w:lvlJc w:val="left"/>
      <w:lvlText w:val="•"/>
      <w:numFmt w:val="bullet"/>
      <w:start w:val="1"/>
    </w:lvl>
  </w:abstractNum>
  <w:abstractNum w:abstractNumId="16">
    <w:nsid w:val="189A769B"/>
    <w:multiLevelType w:val="hybridMultilevel"/>
    <w:lvl w:ilvl="0">
      <w:lvlJc w:val="left"/>
      <w:lvlText w:val="•"/>
      <w:numFmt w:val="bullet"/>
      <w:start w:val="1"/>
    </w:lvl>
  </w:abstractNum>
  <w:abstractNum w:abstractNumId="17">
    <w:nsid w:val="54E49EB4"/>
    <w:multiLevelType w:val="hybridMultilevel"/>
    <w:lvl w:ilvl="0">
      <w:lvlJc w:val="left"/>
      <w:lvlText w:val="•"/>
      <w:numFmt w:val="bullet"/>
      <w:start w:val="1"/>
    </w:lvl>
  </w:abstractNum>
  <w:abstractNum w:abstractNumId="18">
    <w:nsid w:val="71F32454"/>
    <w:multiLevelType w:val="hybridMultilevel"/>
    <w:lvl w:ilvl="0">
      <w:lvlJc w:val="left"/>
      <w:lvlText w:val="•"/>
      <w:numFmt w:val="bullet"/>
      <w:start w:val="1"/>
    </w:lvl>
  </w:abstractNum>
  <w:abstractNum w:abstractNumId="19">
    <w:nsid w:val="2CA88611"/>
    <w:multiLevelType w:val="hybridMultilevel"/>
    <w:lvl w:ilvl="0">
      <w:lvlJc w:val="left"/>
      <w:lvlText w:val="(%1)"/>
      <w:numFmt w:val="lowerLetter"/>
      <w:start w:val="1"/>
    </w:lvl>
  </w:abstractNum>
  <w:abstractNum w:abstractNumId="20">
    <w:nsid w:val="836C40E"/>
    <w:multiLevelType w:val="hybridMultilevel"/>
    <w:lvl w:ilvl="0">
      <w:lvlJc w:val="left"/>
      <w:lvlText w:val="(%1)"/>
      <w:numFmt w:val="lowerLetter"/>
      <w:start w:val="1"/>
    </w:lvl>
  </w:abstractNum>
  <w:abstractNum w:abstractNumId="21">
    <w:nsid w:val="2901D82"/>
    <w:multiLevelType w:val="hybridMultilevel"/>
    <w:lvl w:ilvl="0">
      <w:lvlJc w:val="left"/>
      <w:lvlText w:val="(%1)"/>
      <w:numFmt w:val="lowerLetter"/>
      <w:start w:val="1"/>
    </w:lvl>
  </w:abstractNum>
  <w:abstractNum w:abstractNumId="22">
    <w:nsid w:val="3A95F874"/>
    <w:multiLevelType w:val="hybridMultilevel"/>
    <w:lvl w:ilvl="0">
      <w:lvlJc w:val="left"/>
      <w:lvlText w:val="(%1)"/>
      <w:numFmt w:val="lowerLetter"/>
      <w:start w:val="1"/>
    </w:lvl>
  </w:abstractNum>
  <w:abstractNum w:abstractNumId="23">
    <w:nsid w:val="8138641"/>
    <w:multiLevelType w:val="hybridMultilevel"/>
    <w:lvl w:ilvl="0">
      <w:lvlJc w:val="left"/>
      <w:lvlText w:val="(%1)"/>
      <w:numFmt w:val="lowerLetter"/>
      <w:start w:val="1"/>
    </w:lvl>
  </w:abstractNum>
  <w:abstractNum w:abstractNumId="24">
    <w:nsid w:val="1E7FF521"/>
    <w:multiLevelType w:val="hybridMultilevel"/>
    <w:lvl w:ilvl="0">
      <w:lvlJc w:val="left"/>
      <w:lvlText w:val="(%1)"/>
      <w:numFmt w:val="lowerLetter"/>
      <w:start w:val="1"/>
    </w:lvl>
  </w:abstractNum>
  <w:abstractNum w:abstractNumId="25">
    <w:nsid w:val="7C3DBD3D"/>
    <w:multiLevelType w:val="hybridMultilevel"/>
    <w:lvl w:ilvl="0">
      <w:lvlJc w:val="left"/>
      <w:lvlText w:val="%1"/>
      <w:numFmt w:val="decimal"/>
      <w:start w:val="101"/>
    </w:lvl>
  </w:abstractNum>
  <w:abstractNum w:abstractNumId="26">
    <w:nsid w:val="737B8DDC"/>
    <w:multiLevelType w:val="hybridMultilevel"/>
    <w:lvl w:ilvl="0">
      <w:lvlJc w:val="left"/>
      <w:lvlText w:val="#"/>
      <w:numFmt w:val="bullet"/>
      <w:start w:val="1"/>
    </w:lvl>
    <w:lvl w:ilvl="1">
      <w:lvlJc w:val="left"/>
      <w:lvlText w:val="%2"/>
      <w:numFmt w:val="decimal"/>
      <w:start w:val="104"/>
    </w:lvl>
  </w:abstractNum>
  <w:abstractNum w:abstractNumId="27">
    <w:nsid w:val="6CEAF087"/>
    <w:multiLevelType w:val="hybridMultilevel"/>
    <w:lvl w:ilvl="0">
      <w:lvlJc w:val="left"/>
      <w:lvlText w:val="(%1)"/>
      <w:numFmt w:val="lowerLetter"/>
      <w:start w:val="1"/>
    </w:lvl>
  </w:abstractNum>
  <w:abstractNum w:abstractNumId="28">
    <w:nsid w:val="22221A70"/>
    <w:multiLevelType w:val="hybridMultilevel"/>
    <w:lvl w:ilvl="0">
      <w:lvlJc w:val="left"/>
      <w:lvlText w:val="(%1)"/>
      <w:numFmt w:val="lowerLetter"/>
      <w:start w:val="2"/>
    </w:lvl>
  </w:abstractNum>
  <w:abstractNum w:abstractNumId="29">
    <w:nsid w:val="4516DDE9"/>
    <w:multiLevelType w:val="hybridMultilevel"/>
    <w:lvl w:ilvl="0">
      <w:lvlJc w:val="left"/>
      <w:lvlText w:val="(%1)"/>
      <w:numFmt w:val="lowerLetter"/>
      <w:start w:val="1"/>
    </w:lvl>
  </w:abstractNum>
  <w:abstractNum w:abstractNumId="30">
    <w:nsid w:val="3006C83E"/>
    <w:multiLevelType w:val="hybridMultilevel"/>
    <w:lvl w:ilvl="0">
      <w:lvlJc w:val="left"/>
      <w:lvlText w:val="(%1)"/>
      <w:numFmt w:val="lowerLetter"/>
      <w:start w:val="1"/>
    </w:lvl>
  </w:abstractNum>
  <w:abstractNum w:abstractNumId="31">
    <w:nsid w:val="614FD4A1"/>
    <w:multiLevelType w:val="hybridMultilevel"/>
    <w:lvl w:ilvl="0">
      <w:lvlJc w:val="left"/>
      <w:lvlText w:val="(%1)"/>
      <w:numFmt w:val="upperLetter"/>
      <w:start w:val="3"/>
    </w:lvl>
    <w:lvl w:ilvl="1">
      <w:lvlJc w:val="left"/>
      <w:lvlText w:val="(%2)"/>
      <w:numFmt w:val="lowerLetter"/>
      <w:start w:val="3"/>
    </w:lvl>
  </w:abstractNum>
  <w:abstractNum w:abstractNumId="32">
    <w:nsid w:val="419AC241"/>
    <w:multiLevelType w:val="hybridMultilevel"/>
    <w:lvl w:ilvl="0">
      <w:lvlJc w:val="left"/>
      <w:lvlText w:val="(%1)"/>
      <w:numFmt w:val="lowerLetter"/>
      <w:start w:val="1"/>
    </w:lvl>
  </w:abstractNum>
  <w:abstractNum w:abstractNumId="33">
    <w:nsid w:val="5577F8E1"/>
    <w:multiLevelType w:val="hybridMultilevel"/>
    <w:lvl w:ilvl="0">
      <w:lvlJc w:val="left"/>
      <w:lvlText w:val="(%1)"/>
      <w:numFmt w:val="lowerLetter"/>
      <w:start w:val="2"/>
    </w:lvl>
  </w:abstractNum>
  <w:abstractNum w:abstractNumId="34">
    <w:nsid w:val="440BADFC"/>
    <w:multiLevelType w:val="hybridMultilevel"/>
    <w:lvl w:ilvl="0">
      <w:lvlJc w:val="left"/>
      <w:lvlText w:val="%1."/>
      <w:numFmt w:val="decimal"/>
      <w:start w:val="1"/>
    </w:lvl>
    <w:lvl w:ilvl="1">
      <w:lvlJc w:val="left"/>
      <w:lvlText w:val="%2."/>
      <w:numFmt w:val="lowerLetter"/>
      <w:start w:val="1"/>
    </w:lvl>
  </w:abstractNum>
  <w:abstractNum w:abstractNumId="35">
    <w:nsid w:val="5072367"/>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5" Type="http://schemas.openxmlformats.org/officeDocument/2006/relationships/image" Target="media/image46.png"/><Relationship Id="rId56" Type="http://schemas.openxmlformats.org/officeDocument/2006/relationships/image" Target="media/image47.png"/><Relationship Id="rId57" Type="http://schemas.openxmlformats.org/officeDocument/2006/relationships/image" Target="media/image48.png"/><Relationship Id="rId58" Type="http://schemas.openxmlformats.org/officeDocument/2006/relationships/image" Target="media/image49.png"/><Relationship Id="rId59" Type="http://schemas.openxmlformats.org/officeDocument/2006/relationships/image" Target="media/image50.png"/><Relationship Id="rId53" Type="http://schemas.openxmlformats.org/officeDocument/2006/relationships/hyperlink" Target="https://www.sec.gov/Archives/edgar/data/915840/000091584025000074/exhibit41-2025rightsagreem.htm" TargetMode="External"/><Relationship Id="rId54" Type="http://schemas.openxmlformats.org/officeDocument/2006/relationships/hyperlink" Target="https://www.sec.gov/Archives/edgar/data/915840/000091584024000028/bzh-33124ex22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2026-01-29T16:53:40Z</dcterms:created>
  <dcterms:modified xsi:type="dcterms:W3CDTF">2026-01-29T16:53:40Z</dcterms:modified>
</cp:coreProperties>
</file>